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2A237" w14:textId="5D11D9AF" w:rsidR="00DF6406" w:rsidRPr="00253EDF" w:rsidRDefault="00DF6406" w:rsidP="00253EDF">
      <w:pPr>
        <w:pStyle w:val="Otsikko"/>
      </w:pPr>
      <w:r w:rsidRPr="00253EDF">
        <w:t xml:space="preserve">Suomen Aikuisurheiluliito ry:n (SAUL) yhdenvertaisuussuunnitelma </w:t>
      </w:r>
      <w:r w:rsidR="00CB6FCC" w:rsidRPr="00253EDF">
        <w:t>2023–2025</w:t>
      </w:r>
    </w:p>
    <w:sdt>
      <w:sdtPr>
        <w:rPr>
          <w:rFonts w:asciiTheme="minorHAnsi" w:eastAsiaTheme="minorHAnsi" w:hAnsiTheme="minorHAnsi" w:cstheme="minorBidi"/>
          <w:color w:val="auto"/>
          <w:sz w:val="22"/>
          <w:szCs w:val="22"/>
          <w:lang w:eastAsia="en-US"/>
        </w:rPr>
        <w:id w:val="-272092744"/>
        <w:docPartObj>
          <w:docPartGallery w:val="Table of Contents"/>
          <w:docPartUnique/>
        </w:docPartObj>
      </w:sdtPr>
      <w:sdtEndPr>
        <w:rPr>
          <w:b/>
          <w:bCs/>
        </w:rPr>
      </w:sdtEndPr>
      <w:sdtContent>
        <w:p w14:paraId="00789214" w14:textId="44C5FA21" w:rsidR="00253EDF" w:rsidRDefault="00253EDF">
          <w:pPr>
            <w:pStyle w:val="Sisllysluettelonotsikko"/>
          </w:pPr>
          <w:r>
            <w:t>Sisällys</w:t>
          </w:r>
        </w:p>
        <w:p w14:paraId="520BE783" w14:textId="2BA05875" w:rsidR="00253EDF" w:rsidRDefault="00253EDF">
          <w:pPr>
            <w:pStyle w:val="Sisluet1"/>
            <w:tabs>
              <w:tab w:val="right" w:leader="dot" w:pos="9628"/>
            </w:tabs>
            <w:rPr>
              <w:rFonts w:eastAsiaTheme="minorEastAsia"/>
              <w:noProof/>
              <w:lang w:eastAsia="fi-FI"/>
            </w:rPr>
          </w:pPr>
          <w:r>
            <w:fldChar w:fldCharType="begin"/>
          </w:r>
          <w:r>
            <w:instrText xml:space="preserve"> TOC \o "1-3" \h \z \u </w:instrText>
          </w:r>
          <w:r>
            <w:fldChar w:fldCharType="separate"/>
          </w:r>
          <w:hyperlink w:anchor="_Toc129266341" w:history="1">
            <w:r w:rsidRPr="00C5648E">
              <w:rPr>
                <w:rStyle w:val="Hyperlinkki"/>
                <w:noProof/>
              </w:rPr>
              <w:t>1 SAUL:n toiminta-ajatus ja toiminnan painopisteet</w:t>
            </w:r>
            <w:r>
              <w:rPr>
                <w:noProof/>
                <w:webHidden/>
              </w:rPr>
              <w:tab/>
            </w:r>
            <w:r>
              <w:rPr>
                <w:noProof/>
                <w:webHidden/>
              </w:rPr>
              <w:fldChar w:fldCharType="begin"/>
            </w:r>
            <w:r>
              <w:rPr>
                <w:noProof/>
                <w:webHidden/>
              </w:rPr>
              <w:instrText xml:space="preserve"> PAGEREF _Toc129266341 \h </w:instrText>
            </w:r>
            <w:r>
              <w:rPr>
                <w:noProof/>
                <w:webHidden/>
              </w:rPr>
            </w:r>
            <w:r>
              <w:rPr>
                <w:noProof/>
                <w:webHidden/>
              </w:rPr>
              <w:fldChar w:fldCharType="separate"/>
            </w:r>
            <w:r>
              <w:rPr>
                <w:noProof/>
                <w:webHidden/>
              </w:rPr>
              <w:t>1</w:t>
            </w:r>
            <w:r>
              <w:rPr>
                <w:noProof/>
                <w:webHidden/>
              </w:rPr>
              <w:fldChar w:fldCharType="end"/>
            </w:r>
          </w:hyperlink>
        </w:p>
        <w:p w14:paraId="2DBD60D0" w14:textId="6E156997" w:rsidR="00253EDF" w:rsidRDefault="00D97867">
          <w:pPr>
            <w:pStyle w:val="Sisluet1"/>
            <w:tabs>
              <w:tab w:val="right" w:leader="dot" w:pos="9628"/>
            </w:tabs>
            <w:rPr>
              <w:rFonts w:eastAsiaTheme="minorEastAsia"/>
              <w:noProof/>
              <w:lang w:eastAsia="fi-FI"/>
            </w:rPr>
          </w:pPr>
          <w:hyperlink w:anchor="_Toc129266342" w:history="1">
            <w:r w:rsidR="00253EDF" w:rsidRPr="00C5648E">
              <w:rPr>
                <w:rStyle w:val="Hyperlinkki"/>
                <w:noProof/>
              </w:rPr>
              <w:t>2 Yhdenvertaisuus ja tasa-arvo</w:t>
            </w:r>
            <w:r w:rsidR="00253EDF">
              <w:rPr>
                <w:noProof/>
                <w:webHidden/>
              </w:rPr>
              <w:tab/>
            </w:r>
            <w:r w:rsidR="00253EDF">
              <w:rPr>
                <w:noProof/>
                <w:webHidden/>
              </w:rPr>
              <w:fldChar w:fldCharType="begin"/>
            </w:r>
            <w:r w:rsidR="00253EDF">
              <w:rPr>
                <w:noProof/>
                <w:webHidden/>
              </w:rPr>
              <w:instrText xml:space="preserve"> PAGEREF _Toc129266342 \h </w:instrText>
            </w:r>
            <w:r w:rsidR="00253EDF">
              <w:rPr>
                <w:noProof/>
                <w:webHidden/>
              </w:rPr>
            </w:r>
            <w:r w:rsidR="00253EDF">
              <w:rPr>
                <w:noProof/>
                <w:webHidden/>
              </w:rPr>
              <w:fldChar w:fldCharType="separate"/>
            </w:r>
            <w:r w:rsidR="00253EDF">
              <w:rPr>
                <w:noProof/>
                <w:webHidden/>
              </w:rPr>
              <w:t>1</w:t>
            </w:r>
            <w:r w:rsidR="00253EDF">
              <w:rPr>
                <w:noProof/>
                <w:webHidden/>
              </w:rPr>
              <w:fldChar w:fldCharType="end"/>
            </w:r>
          </w:hyperlink>
        </w:p>
        <w:p w14:paraId="5537C555" w14:textId="634ED0AC" w:rsidR="00253EDF" w:rsidRDefault="00D97867">
          <w:pPr>
            <w:pStyle w:val="Sisluet1"/>
            <w:tabs>
              <w:tab w:val="right" w:leader="dot" w:pos="9628"/>
            </w:tabs>
            <w:rPr>
              <w:rFonts w:eastAsiaTheme="minorEastAsia"/>
              <w:noProof/>
              <w:lang w:eastAsia="fi-FI"/>
            </w:rPr>
          </w:pPr>
          <w:hyperlink w:anchor="_Toc129266343" w:history="1">
            <w:r w:rsidR="00253EDF" w:rsidRPr="00C5648E">
              <w:rPr>
                <w:rStyle w:val="Hyperlinkki"/>
                <w:noProof/>
              </w:rPr>
              <w:t>3 Yhdenvertaisuus- ja tasa-arvosuunnitelman perusteet</w:t>
            </w:r>
            <w:r w:rsidR="00253EDF">
              <w:rPr>
                <w:noProof/>
                <w:webHidden/>
              </w:rPr>
              <w:tab/>
            </w:r>
            <w:r w:rsidR="00253EDF">
              <w:rPr>
                <w:noProof/>
                <w:webHidden/>
              </w:rPr>
              <w:fldChar w:fldCharType="begin"/>
            </w:r>
            <w:r w:rsidR="00253EDF">
              <w:rPr>
                <w:noProof/>
                <w:webHidden/>
              </w:rPr>
              <w:instrText xml:space="preserve"> PAGEREF _Toc129266343 \h </w:instrText>
            </w:r>
            <w:r w:rsidR="00253EDF">
              <w:rPr>
                <w:noProof/>
                <w:webHidden/>
              </w:rPr>
            </w:r>
            <w:r w:rsidR="00253EDF">
              <w:rPr>
                <w:noProof/>
                <w:webHidden/>
              </w:rPr>
              <w:fldChar w:fldCharType="separate"/>
            </w:r>
            <w:r w:rsidR="00253EDF">
              <w:rPr>
                <w:noProof/>
                <w:webHidden/>
              </w:rPr>
              <w:t>1</w:t>
            </w:r>
            <w:r w:rsidR="00253EDF">
              <w:rPr>
                <w:noProof/>
                <w:webHidden/>
              </w:rPr>
              <w:fldChar w:fldCharType="end"/>
            </w:r>
          </w:hyperlink>
        </w:p>
        <w:p w14:paraId="579A2971" w14:textId="4F1A83CE" w:rsidR="00253EDF" w:rsidRDefault="00D97867">
          <w:pPr>
            <w:pStyle w:val="Sisluet1"/>
            <w:tabs>
              <w:tab w:val="right" w:leader="dot" w:pos="9628"/>
            </w:tabs>
            <w:rPr>
              <w:rFonts w:eastAsiaTheme="minorEastAsia"/>
              <w:noProof/>
              <w:lang w:eastAsia="fi-FI"/>
            </w:rPr>
          </w:pPr>
          <w:hyperlink w:anchor="_Toc129266344" w:history="1">
            <w:r w:rsidR="00253EDF" w:rsidRPr="00C5648E">
              <w:rPr>
                <w:rStyle w:val="Hyperlinkki"/>
                <w:noProof/>
              </w:rPr>
              <w:t>4 Toimenpiteet</w:t>
            </w:r>
            <w:r w:rsidR="00253EDF">
              <w:rPr>
                <w:noProof/>
                <w:webHidden/>
              </w:rPr>
              <w:tab/>
            </w:r>
            <w:r w:rsidR="00253EDF">
              <w:rPr>
                <w:noProof/>
                <w:webHidden/>
              </w:rPr>
              <w:fldChar w:fldCharType="begin"/>
            </w:r>
            <w:r w:rsidR="00253EDF">
              <w:rPr>
                <w:noProof/>
                <w:webHidden/>
              </w:rPr>
              <w:instrText xml:space="preserve"> PAGEREF _Toc129266344 \h </w:instrText>
            </w:r>
            <w:r w:rsidR="00253EDF">
              <w:rPr>
                <w:noProof/>
                <w:webHidden/>
              </w:rPr>
            </w:r>
            <w:r w:rsidR="00253EDF">
              <w:rPr>
                <w:noProof/>
                <w:webHidden/>
              </w:rPr>
              <w:fldChar w:fldCharType="separate"/>
            </w:r>
            <w:r w:rsidR="00253EDF">
              <w:rPr>
                <w:noProof/>
                <w:webHidden/>
              </w:rPr>
              <w:t>1</w:t>
            </w:r>
            <w:r w:rsidR="00253EDF">
              <w:rPr>
                <w:noProof/>
                <w:webHidden/>
              </w:rPr>
              <w:fldChar w:fldCharType="end"/>
            </w:r>
          </w:hyperlink>
        </w:p>
        <w:p w14:paraId="5034AC8A" w14:textId="2E671967" w:rsidR="00253EDF" w:rsidRDefault="00D97867">
          <w:pPr>
            <w:pStyle w:val="Sisluet1"/>
            <w:tabs>
              <w:tab w:val="right" w:leader="dot" w:pos="9628"/>
            </w:tabs>
            <w:rPr>
              <w:rFonts w:eastAsiaTheme="minorEastAsia"/>
              <w:noProof/>
              <w:lang w:eastAsia="fi-FI"/>
            </w:rPr>
          </w:pPr>
          <w:hyperlink w:anchor="_Toc129266345" w:history="1">
            <w:r w:rsidR="00253EDF" w:rsidRPr="00C5648E">
              <w:rPr>
                <w:rStyle w:val="Hyperlinkki"/>
                <w:noProof/>
              </w:rPr>
              <w:t>5 Seuranta ja päivitys</w:t>
            </w:r>
            <w:r w:rsidR="00253EDF">
              <w:rPr>
                <w:noProof/>
                <w:webHidden/>
              </w:rPr>
              <w:tab/>
            </w:r>
            <w:r w:rsidR="00253EDF">
              <w:rPr>
                <w:noProof/>
                <w:webHidden/>
              </w:rPr>
              <w:fldChar w:fldCharType="begin"/>
            </w:r>
            <w:r w:rsidR="00253EDF">
              <w:rPr>
                <w:noProof/>
                <w:webHidden/>
              </w:rPr>
              <w:instrText xml:space="preserve"> PAGEREF _Toc129266345 \h </w:instrText>
            </w:r>
            <w:r w:rsidR="00253EDF">
              <w:rPr>
                <w:noProof/>
                <w:webHidden/>
              </w:rPr>
            </w:r>
            <w:r w:rsidR="00253EDF">
              <w:rPr>
                <w:noProof/>
                <w:webHidden/>
              </w:rPr>
              <w:fldChar w:fldCharType="separate"/>
            </w:r>
            <w:r w:rsidR="00253EDF">
              <w:rPr>
                <w:noProof/>
                <w:webHidden/>
              </w:rPr>
              <w:t>1</w:t>
            </w:r>
            <w:r w:rsidR="00253EDF">
              <w:rPr>
                <w:noProof/>
                <w:webHidden/>
              </w:rPr>
              <w:fldChar w:fldCharType="end"/>
            </w:r>
          </w:hyperlink>
        </w:p>
        <w:p w14:paraId="2C88C8A8" w14:textId="0FCC17D5" w:rsidR="00253EDF" w:rsidRDefault="00253EDF">
          <w:r>
            <w:rPr>
              <w:b/>
              <w:bCs/>
            </w:rPr>
            <w:fldChar w:fldCharType="end"/>
          </w:r>
        </w:p>
      </w:sdtContent>
    </w:sdt>
    <w:p w14:paraId="03C87B8A" w14:textId="77777777" w:rsidR="00DF6406" w:rsidRPr="00253EDF" w:rsidRDefault="00DF6406" w:rsidP="00DF6406">
      <w:pPr>
        <w:pStyle w:val="Default"/>
        <w:rPr>
          <w:rFonts w:asciiTheme="minorHAnsi" w:hAnsiTheme="minorHAnsi" w:cstheme="minorHAnsi"/>
          <w:sz w:val="22"/>
          <w:szCs w:val="22"/>
        </w:rPr>
      </w:pPr>
    </w:p>
    <w:p w14:paraId="2A9185F7" w14:textId="29CB8211" w:rsidR="00DF6406" w:rsidRPr="00253EDF" w:rsidRDefault="00253EDF" w:rsidP="00253EDF">
      <w:pPr>
        <w:pStyle w:val="Otsikko1"/>
      </w:pPr>
      <w:bookmarkStart w:id="0" w:name="_Toc129266341"/>
      <w:r>
        <w:t xml:space="preserve">1 </w:t>
      </w:r>
      <w:r w:rsidR="00DF6406" w:rsidRPr="00253EDF">
        <w:t>SAUL:n toiminta-ajatus ja toiminnan painopisteet</w:t>
      </w:r>
      <w:bookmarkEnd w:id="0"/>
    </w:p>
    <w:p w14:paraId="5385D7AB" w14:textId="3D380E83" w:rsidR="00DF6406" w:rsidRPr="00253EDF" w:rsidRDefault="00DF6406" w:rsidP="00DF6406">
      <w:pPr>
        <w:pStyle w:val="Default"/>
        <w:rPr>
          <w:rFonts w:asciiTheme="minorHAnsi" w:hAnsiTheme="minorHAnsi" w:cstheme="minorHAnsi"/>
          <w:sz w:val="22"/>
          <w:szCs w:val="22"/>
        </w:rPr>
      </w:pPr>
      <w:r w:rsidRPr="00253EDF">
        <w:rPr>
          <w:rFonts w:asciiTheme="minorHAnsi" w:hAnsiTheme="minorHAnsi" w:cstheme="minorHAnsi"/>
          <w:b/>
          <w:bCs/>
          <w:sz w:val="22"/>
          <w:szCs w:val="22"/>
        </w:rPr>
        <w:t xml:space="preserve"> </w:t>
      </w:r>
    </w:p>
    <w:p w14:paraId="50AFA418" w14:textId="603F5975" w:rsidR="00DF6406" w:rsidRPr="00253EDF" w:rsidRDefault="00DF6406" w:rsidP="00DF6406">
      <w:pPr>
        <w:pStyle w:val="Default"/>
        <w:rPr>
          <w:rFonts w:asciiTheme="minorHAnsi" w:hAnsiTheme="minorHAnsi" w:cstheme="minorHAnsi"/>
          <w:sz w:val="22"/>
          <w:szCs w:val="22"/>
        </w:rPr>
      </w:pPr>
      <w:r w:rsidRPr="00253EDF">
        <w:rPr>
          <w:rFonts w:asciiTheme="minorHAnsi" w:hAnsiTheme="minorHAnsi" w:cstheme="minorHAnsi"/>
          <w:sz w:val="22"/>
          <w:szCs w:val="22"/>
        </w:rPr>
        <w:t xml:space="preserve">SAUL toimii aikuisurheilun valtakunnallisena keskusjärjestönä, joka edistää aikuisurheilijoiden kilpaurheilua ja harrasteliikuntaa sekä muuta toimintakykyä ylläpitävää toimintaa. SAUL:n toiminnan perustana ovat liikunnan eettiset arvot, urheilun reilun pelin periaatteet sekä yhdenvertaisuuden ja tasa-arvon edistäminen. Toiminnan osa-alueisiin kuuluvat käytännössä toiminnan johtaminen, tiedottaminen, terveyden edistäminen, koulutus, valmennus ja urheilukilpailut sekä jäsenseurojen ja urheilijoiden palvelu käytännön asioissa. </w:t>
      </w:r>
    </w:p>
    <w:p w14:paraId="7D3718E9" w14:textId="6A10A130" w:rsidR="00DF6406" w:rsidRPr="00253EDF" w:rsidRDefault="00DF6406" w:rsidP="00DF6406">
      <w:pPr>
        <w:pStyle w:val="Default"/>
        <w:rPr>
          <w:rFonts w:asciiTheme="minorHAnsi" w:hAnsiTheme="minorHAnsi" w:cstheme="minorHAnsi"/>
          <w:sz w:val="22"/>
          <w:szCs w:val="22"/>
        </w:rPr>
      </w:pPr>
      <w:r w:rsidRPr="00253EDF">
        <w:rPr>
          <w:rFonts w:asciiTheme="minorHAnsi" w:hAnsiTheme="minorHAnsi" w:cstheme="minorHAnsi"/>
          <w:sz w:val="22"/>
          <w:szCs w:val="22"/>
        </w:rPr>
        <w:t xml:space="preserve">SAUL:n toiminnan iskulause ”liikuntaa koko elämänkaari” kuvaa osuvasti liiton toiminnan kohdistamista koko aikuisikäiseen väestöön ikärajoihin tuijottamatta. Sääntöjensä mukaan liiton tehtävänä on organisoida toimintaa, joka tukee eri-ikäisten toimijoiden hyvän toimintakyvyn säilyttämistä mm. julkaisemalla aikuisurheilua koskevaa materiaalia sekä järjestämällä omakohtaista suoriutumista ja valmentautumista koskevia koulutustilaisuuksia. Siten liiton toiminnan tavoitteet ja itse toiminta vastaavat pitkälti liikuntalain 2 §:ssä esitettyjä lain tavoitteita. Lainkohdan mukaan lain tavoitteena on edistää muun muassa eri väestöryhmien mahdollisuuksia liikkua ja harrastaa liikuntaa, väestön hyvinvointia ja terveyttä, fyysisen toimintakyvyn ylläpitämistä ja parantamista, liikunnan kansalaistoimintaa mukaan lukien seuratoiminta, liikunnan ja huippu-urheilun rehellisyyttä ja eettisiä periaatteita sekä eriarvoisuuden vähentämistä liikunnassa. </w:t>
      </w:r>
    </w:p>
    <w:p w14:paraId="1B049B76" w14:textId="7654A8A1" w:rsidR="00724050" w:rsidRPr="00253EDF" w:rsidRDefault="00724050" w:rsidP="00DF6406">
      <w:pPr>
        <w:pStyle w:val="Default"/>
        <w:rPr>
          <w:rFonts w:asciiTheme="minorHAnsi" w:hAnsiTheme="minorHAnsi" w:cstheme="minorHAnsi"/>
          <w:sz w:val="22"/>
          <w:szCs w:val="22"/>
        </w:rPr>
      </w:pPr>
      <w:r w:rsidRPr="00253EDF">
        <w:rPr>
          <w:rFonts w:asciiTheme="minorHAnsi" w:hAnsiTheme="minorHAnsi" w:cstheme="minorHAnsi"/>
          <w:sz w:val="22"/>
          <w:szCs w:val="22"/>
        </w:rPr>
        <w:t>Suomen Aikuisurheiluliitossa oli 351 jäsenseuraa vuoden 2022 alussa.</w:t>
      </w:r>
    </w:p>
    <w:p w14:paraId="3724F0C8" w14:textId="1F3607BE" w:rsidR="00DF6406" w:rsidRPr="00253EDF" w:rsidRDefault="00DF6406" w:rsidP="00DF6406">
      <w:pPr>
        <w:pStyle w:val="Default"/>
        <w:rPr>
          <w:rFonts w:asciiTheme="minorHAnsi" w:hAnsiTheme="minorHAnsi" w:cstheme="minorHAnsi"/>
          <w:sz w:val="22"/>
          <w:szCs w:val="22"/>
        </w:rPr>
      </w:pPr>
    </w:p>
    <w:p w14:paraId="76D3CAC1" w14:textId="525821F6" w:rsidR="00DF6406" w:rsidRPr="00253EDF" w:rsidRDefault="00253EDF" w:rsidP="00253EDF">
      <w:pPr>
        <w:pStyle w:val="Otsikko1"/>
      </w:pPr>
      <w:bookmarkStart w:id="1" w:name="_Toc129266342"/>
      <w:r>
        <w:t xml:space="preserve">2 </w:t>
      </w:r>
      <w:r w:rsidR="00DF6406" w:rsidRPr="00253EDF">
        <w:t>Yhdenvertaisuus ja tasa-arvo</w:t>
      </w:r>
      <w:bookmarkEnd w:id="1"/>
    </w:p>
    <w:p w14:paraId="3213491E" w14:textId="28E8D9FE" w:rsidR="00724050" w:rsidRPr="00253EDF" w:rsidRDefault="00724050" w:rsidP="00DF6406">
      <w:pPr>
        <w:pStyle w:val="Default"/>
        <w:rPr>
          <w:rFonts w:asciiTheme="minorHAnsi" w:hAnsiTheme="minorHAnsi" w:cstheme="minorHAnsi"/>
          <w:b/>
          <w:bCs/>
          <w:sz w:val="22"/>
          <w:szCs w:val="22"/>
        </w:rPr>
      </w:pPr>
    </w:p>
    <w:p w14:paraId="09D48E28" w14:textId="42AFE92D" w:rsidR="00724050" w:rsidRPr="00253EDF" w:rsidRDefault="00724050" w:rsidP="00724050">
      <w:pPr>
        <w:autoSpaceDE w:val="0"/>
        <w:autoSpaceDN w:val="0"/>
        <w:adjustRightInd w:val="0"/>
        <w:spacing w:after="0" w:line="240" w:lineRule="auto"/>
        <w:rPr>
          <w:rFonts w:cstheme="minorHAnsi"/>
          <w:color w:val="000000"/>
        </w:rPr>
      </w:pPr>
      <w:r w:rsidRPr="00724050">
        <w:rPr>
          <w:rFonts w:cstheme="minorHAnsi"/>
          <w:color w:val="000000"/>
        </w:rPr>
        <w:t xml:space="preserve">Yhdenvertaisuudella tarkoitetaan sitä, että kaikki ihmiset ovat samanarvoisia riippumatta heidän sukupuolestaan, iästään, alkuperästään, kansalaisuudestaan, kielestään, uskonnostaan ja vakaumuksestaan, mielipiteestään, poliittisesta tai ammattiyhdistystoiminnastaan, perhesuhteistaan, vammastaan, terveydentilastaan, seksuaalisesta suuntautumisestaan tai muusta henkilöön liittyvästä syystä. Henkilöön liittyvät tekijät, kuten ikä, syntyperä tai henkilökohtainen vakaumus, eivät saisi vaikuttaa mahdollisuuksiin saada erilaisia palveluja ja osallistua erilaisiin toimintoihin, kuten työhön, vapaa-ajan harrastuksiin ja koulutukseen. Yhdenvertaisuuden perusteet ja syrjinnän kielto on kirjattu yhdenvertaisuuslakiin. </w:t>
      </w:r>
    </w:p>
    <w:p w14:paraId="719130F8" w14:textId="77777777" w:rsidR="00724050" w:rsidRPr="00724050" w:rsidRDefault="00724050" w:rsidP="00724050">
      <w:pPr>
        <w:autoSpaceDE w:val="0"/>
        <w:autoSpaceDN w:val="0"/>
        <w:adjustRightInd w:val="0"/>
        <w:spacing w:after="0" w:line="240" w:lineRule="auto"/>
        <w:rPr>
          <w:rFonts w:cstheme="minorHAnsi"/>
          <w:color w:val="000000"/>
        </w:rPr>
      </w:pPr>
    </w:p>
    <w:p w14:paraId="07FFB3CD" w14:textId="3A5E50B3" w:rsidR="00724050" w:rsidRDefault="00724050" w:rsidP="00724050">
      <w:pPr>
        <w:pStyle w:val="Default"/>
        <w:rPr>
          <w:rFonts w:asciiTheme="minorHAnsi" w:hAnsiTheme="minorHAnsi" w:cstheme="minorHAnsi"/>
          <w:sz w:val="22"/>
          <w:szCs w:val="22"/>
        </w:rPr>
      </w:pPr>
      <w:r w:rsidRPr="00253EDF">
        <w:rPr>
          <w:rFonts w:asciiTheme="minorHAnsi" w:hAnsiTheme="minorHAnsi" w:cstheme="minorHAnsi"/>
          <w:sz w:val="22"/>
          <w:szCs w:val="22"/>
        </w:rPr>
        <w:lastRenderedPageBreak/>
        <w:t>Tasa-arvolla tarkoitetaan sitä, että ketään ei ilman hyväksyttävää perustetta aseteta eriarvoiseen asemaan sukupuolen perusteella. Tasa-arvosta on pidettävä huolta kaikilla yhteiskuntaelämän alueita. Tasa-arvon perusteet on kirjattu tasa-arvolakiin, joka kieltää syrjimästä sekä naisia että miehiä sukupuolen tai sukupuolisen suuntauksen perusteella. Tasa-arvon perusteet ja syrjinnän kielto sukupuolen ja sukupuoli-identiteetin perusteella on kirjattu tasa-arvolakiin.</w:t>
      </w:r>
    </w:p>
    <w:p w14:paraId="23191857" w14:textId="77777777" w:rsidR="00D97867" w:rsidRDefault="00D97867" w:rsidP="00724050">
      <w:pPr>
        <w:pStyle w:val="Default"/>
        <w:rPr>
          <w:rFonts w:asciiTheme="minorHAnsi" w:hAnsiTheme="minorHAnsi" w:cstheme="minorHAnsi"/>
          <w:sz w:val="22"/>
          <w:szCs w:val="22"/>
        </w:rPr>
      </w:pPr>
    </w:p>
    <w:p w14:paraId="797AA8F7" w14:textId="2207605D" w:rsidR="00DF6406" w:rsidRDefault="00D97867" w:rsidP="00D97867">
      <w:pPr>
        <w:rPr>
          <w:rFonts w:eastAsia="Times New Roman" w:cstheme="minorHAnsi"/>
        </w:rPr>
      </w:pPr>
      <w:r w:rsidRPr="00D97867">
        <w:rPr>
          <w:rFonts w:eastAsia="Times New Roman" w:cstheme="minorHAnsi"/>
        </w:rPr>
        <w:t xml:space="preserve">Transsukupuolisten sarjavalinnoissa </w:t>
      </w:r>
      <w:r w:rsidRPr="00D97867">
        <w:rPr>
          <w:rFonts w:eastAsia="Times New Roman" w:cstheme="minorHAnsi"/>
        </w:rPr>
        <w:t>SAUL seuraa</w:t>
      </w:r>
      <w:r w:rsidRPr="00D97867">
        <w:rPr>
          <w:rFonts w:eastAsia="Times New Roman" w:cstheme="minorHAnsi"/>
        </w:rPr>
        <w:t xml:space="preserve"> SUL, WADA, </w:t>
      </w:r>
      <w:proofErr w:type="spellStart"/>
      <w:r w:rsidRPr="00D97867">
        <w:rPr>
          <w:rFonts w:eastAsia="Times New Roman" w:cstheme="minorHAnsi"/>
        </w:rPr>
        <w:t>WA:n</w:t>
      </w:r>
      <w:proofErr w:type="spellEnd"/>
      <w:r w:rsidRPr="00D97867">
        <w:rPr>
          <w:rFonts w:eastAsia="Times New Roman" w:cstheme="minorHAnsi"/>
        </w:rPr>
        <w:t xml:space="preserve"> ja WMA:n linjauksia.</w:t>
      </w:r>
    </w:p>
    <w:p w14:paraId="33D6B989" w14:textId="77777777" w:rsidR="00D97867" w:rsidRPr="00253EDF" w:rsidRDefault="00D97867" w:rsidP="00D97867">
      <w:pPr>
        <w:rPr>
          <w:rFonts w:cstheme="minorHAnsi"/>
        </w:rPr>
      </w:pPr>
    </w:p>
    <w:p w14:paraId="45C3ADF0" w14:textId="36558A7A" w:rsidR="00DF6406" w:rsidRPr="00253EDF" w:rsidRDefault="00253EDF" w:rsidP="00253EDF">
      <w:pPr>
        <w:pStyle w:val="Otsikko1"/>
      </w:pPr>
      <w:bookmarkStart w:id="2" w:name="_Toc129266343"/>
      <w:r>
        <w:t xml:space="preserve">3 </w:t>
      </w:r>
      <w:r w:rsidR="00DF6406" w:rsidRPr="00253EDF">
        <w:t>Yhdenvertaisuus- ja tasa-arvosuunnitelman perusteet</w:t>
      </w:r>
      <w:bookmarkEnd w:id="2"/>
      <w:r w:rsidR="00DF6406" w:rsidRPr="00253EDF">
        <w:t xml:space="preserve"> </w:t>
      </w:r>
    </w:p>
    <w:p w14:paraId="610AE20C" w14:textId="798ED0E7" w:rsidR="00D51CB2" w:rsidRPr="00253EDF" w:rsidRDefault="00D51CB2" w:rsidP="00DF6406">
      <w:pPr>
        <w:pStyle w:val="Default"/>
        <w:rPr>
          <w:rFonts w:asciiTheme="minorHAnsi" w:hAnsiTheme="minorHAnsi" w:cstheme="minorHAnsi"/>
          <w:b/>
          <w:bCs/>
          <w:sz w:val="22"/>
          <w:szCs w:val="22"/>
        </w:rPr>
      </w:pPr>
    </w:p>
    <w:p w14:paraId="76F1395B" w14:textId="6A4E4AC0" w:rsidR="00D51CB2" w:rsidRPr="00253EDF" w:rsidRDefault="00D51CB2" w:rsidP="00DF6406">
      <w:pPr>
        <w:pStyle w:val="Default"/>
        <w:rPr>
          <w:rFonts w:asciiTheme="minorHAnsi" w:hAnsiTheme="minorHAnsi" w:cstheme="minorHAnsi"/>
          <w:sz w:val="22"/>
          <w:szCs w:val="22"/>
        </w:rPr>
      </w:pPr>
      <w:r w:rsidRPr="00253EDF">
        <w:rPr>
          <w:rFonts w:asciiTheme="minorHAnsi" w:hAnsiTheme="minorHAnsi" w:cstheme="minorHAnsi"/>
          <w:sz w:val="22"/>
          <w:szCs w:val="22"/>
        </w:rPr>
        <w:t xml:space="preserve">Syksyllä 2022 toteutettiin liiton jäsenseuroilla yhdenvertaisuuskysely Olympiakomitean valmiilla pohjalla. Samaa kyselyä </w:t>
      </w:r>
      <w:r w:rsidR="004F4508" w:rsidRPr="00253EDF">
        <w:rPr>
          <w:rFonts w:asciiTheme="minorHAnsi" w:hAnsiTheme="minorHAnsi" w:cstheme="minorHAnsi"/>
          <w:sz w:val="22"/>
          <w:szCs w:val="22"/>
        </w:rPr>
        <w:t>käytettiin</w:t>
      </w:r>
      <w:r w:rsidRPr="00253EDF">
        <w:rPr>
          <w:rFonts w:asciiTheme="minorHAnsi" w:hAnsiTheme="minorHAnsi" w:cstheme="minorHAnsi"/>
          <w:sz w:val="22"/>
          <w:szCs w:val="22"/>
        </w:rPr>
        <w:t xml:space="preserve"> aiemman suu</w:t>
      </w:r>
      <w:r w:rsidR="004F4508" w:rsidRPr="00253EDF">
        <w:rPr>
          <w:rFonts w:asciiTheme="minorHAnsi" w:hAnsiTheme="minorHAnsi" w:cstheme="minorHAnsi"/>
          <w:sz w:val="22"/>
          <w:szCs w:val="22"/>
        </w:rPr>
        <w:t>nnitelman pohjana vuonna 2019, joten tulokset ovat osittain vertailukelpoiset. Vastauksia saatiin 62 kpl, kun vuonna 2019 vastauksia oli 102 kpl. Kyselyn linkki lähetettiin kaikkien jäsenseurojen yhteyshenkilöille, joita pyydettiin välittämään se jäsenistölleen. Lisäksi kyselystä kerrottiin Ikiliikkuja-lehdessä, liiton nettisivuilla ja Facebookissa</w:t>
      </w:r>
      <w:r w:rsidR="005D267F" w:rsidRPr="00253EDF">
        <w:rPr>
          <w:rFonts w:asciiTheme="minorHAnsi" w:hAnsiTheme="minorHAnsi" w:cstheme="minorHAnsi"/>
          <w:sz w:val="22"/>
          <w:szCs w:val="22"/>
        </w:rPr>
        <w:t>, josta oli suora linkki kyselyyn</w:t>
      </w:r>
      <w:r w:rsidR="004F4508" w:rsidRPr="00253EDF">
        <w:rPr>
          <w:rFonts w:asciiTheme="minorHAnsi" w:hAnsiTheme="minorHAnsi" w:cstheme="minorHAnsi"/>
          <w:sz w:val="22"/>
          <w:szCs w:val="22"/>
        </w:rPr>
        <w:t>.</w:t>
      </w:r>
    </w:p>
    <w:p w14:paraId="0077EF11" w14:textId="141B0ADD" w:rsidR="004F4508" w:rsidRPr="00253EDF" w:rsidRDefault="004F4508" w:rsidP="00DF6406">
      <w:pPr>
        <w:pStyle w:val="Default"/>
        <w:rPr>
          <w:rFonts w:asciiTheme="minorHAnsi" w:hAnsiTheme="minorHAnsi" w:cstheme="minorHAnsi"/>
          <w:sz w:val="22"/>
          <w:szCs w:val="22"/>
        </w:rPr>
      </w:pPr>
    </w:p>
    <w:p w14:paraId="7CD983DD" w14:textId="77777777" w:rsidR="004F4508" w:rsidRPr="00253EDF" w:rsidRDefault="004F4508" w:rsidP="00253EDF">
      <w:pPr>
        <w:pStyle w:val="Otsikko2"/>
      </w:pPr>
      <w:r w:rsidRPr="00253EDF">
        <w:t>Huomioita vastauksista:</w:t>
      </w:r>
    </w:p>
    <w:p w14:paraId="3FA4B809" w14:textId="58E4D00E"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 xml:space="preserve">Naisten osuus vastaajista oli hieman noussut (26,5 % </w:t>
      </w:r>
      <w:r w:rsidR="008E1CA3">
        <w:rPr>
          <w:rFonts w:asciiTheme="minorHAnsi" w:eastAsia="Times New Roman" w:hAnsiTheme="minorHAnsi" w:cstheme="minorHAnsi"/>
        </w:rPr>
        <w:t>-&gt;</w:t>
      </w:r>
      <w:r w:rsidRPr="00253EDF">
        <w:rPr>
          <w:rFonts w:asciiTheme="minorHAnsi" w:eastAsia="Times New Roman" w:hAnsiTheme="minorHAnsi" w:cstheme="minorHAnsi"/>
        </w:rPr>
        <w:t xml:space="preserve"> 30,6 %)</w:t>
      </w:r>
    </w:p>
    <w:p w14:paraId="2D3509C3" w14:textId="3489F777"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Yli 60-vuotiaiden vastaajien osuus oli kasvanut 40–</w:t>
      </w:r>
      <w:r w:rsidR="00CB6FCC" w:rsidRPr="00253EDF">
        <w:rPr>
          <w:rFonts w:asciiTheme="minorHAnsi" w:eastAsia="Times New Roman" w:hAnsiTheme="minorHAnsi" w:cstheme="minorHAnsi"/>
        </w:rPr>
        <w:t>60-vuotiaiden</w:t>
      </w:r>
      <w:r w:rsidRPr="00253EDF">
        <w:rPr>
          <w:rFonts w:asciiTheme="minorHAnsi" w:eastAsia="Times New Roman" w:hAnsiTheme="minorHAnsi" w:cstheme="minorHAnsi"/>
        </w:rPr>
        <w:t xml:space="preserve"> kustannuksella.</w:t>
      </w:r>
    </w:p>
    <w:p w14:paraId="66C4452B" w14:textId="77777777"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Pienempi osa vastaajista oli seuran johtohenkilöitä ja suurempi osa itse urheilijoita.</w:t>
      </w:r>
    </w:p>
    <w:p w14:paraId="129E7FD4" w14:textId="22607F3C"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Seurojen tapoihin kuulu</w:t>
      </w:r>
      <w:r w:rsidR="005D267F" w:rsidRPr="00253EDF">
        <w:rPr>
          <w:rFonts w:asciiTheme="minorHAnsi" w:eastAsia="Times New Roman" w:hAnsiTheme="minorHAnsi" w:cstheme="minorHAnsi"/>
        </w:rPr>
        <w:t>i</w:t>
      </w:r>
      <w:r w:rsidRPr="00253EDF">
        <w:rPr>
          <w:rFonts w:asciiTheme="minorHAnsi" w:eastAsia="Times New Roman" w:hAnsiTheme="minorHAnsi" w:cstheme="minorHAnsi"/>
        </w:rPr>
        <w:t xml:space="preserve"> tervehtiä harjoituksiin tulevia.</w:t>
      </w:r>
    </w:p>
    <w:p w14:paraId="659AAF7F" w14:textId="3406C763"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Valmentaja ot</w:t>
      </w:r>
      <w:r w:rsidR="005D267F" w:rsidRPr="00253EDF">
        <w:rPr>
          <w:rFonts w:asciiTheme="minorHAnsi" w:eastAsia="Times New Roman" w:hAnsiTheme="minorHAnsi" w:cstheme="minorHAnsi"/>
        </w:rPr>
        <w:t>ti</w:t>
      </w:r>
      <w:r w:rsidRPr="00253EDF">
        <w:rPr>
          <w:rFonts w:asciiTheme="minorHAnsi" w:eastAsia="Times New Roman" w:hAnsiTheme="minorHAnsi" w:cstheme="minorHAnsi"/>
        </w:rPr>
        <w:t xml:space="preserve"> kaikki huomioon lähes kaikissa seuroissa.</w:t>
      </w:r>
    </w:p>
    <w:p w14:paraId="7A4B7FE9" w14:textId="6013294E"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Suurimmassa osassa vastaajien seuroissa kokeneemmat harrastajat kannust</w:t>
      </w:r>
      <w:r w:rsidR="005D267F" w:rsidRPr="00253EDF">
        <w:rPr>
          <w:rFonts w:asciiTheme="minorHAnsi" w:eastAsia="Times New Roman" w:hAnsiTheme="minorHAnsi" w:cstheme="minorHAnsi"/>
        </w:rPr>
        <w:t>i</w:t>
      </w:r>
      <w:r w:rsidRPr="00253EDF">
        <w:rPr>
          <w:rFonts w:asciiTheme="minorHAnsi" w:eastAsia="Times New Roman" w:hAnsiTheme="minorHAnsi" w:cstheme="minorHAnsi"/>
        </w:rPr>
        <w:t>vat uusia.</w:t>
      </w:r>
    </w:p>
    <w:p w14:paraId="3D77199C" w14:textId="67A440E8"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Ilmapiiri seurassa koet</w:t>
      </w:r>
      <w:r w:rsidR="005D267F" w:rsidRPr="00253EDF">
        <w:rPr>
          <w:rFonts w:asciiTheme="minorHAnsi" w:eastAsia="Times New Roman" w:hAnsiTheme="minorHAnsi" w:cstheme="minorHAnsi"/>
        </w:rPr>
        <w:t>tiin</w:t>
      </w:r>
      <w:r w:rsidRPr="00253EDF">
        <w:rPr>
          <w:rFonts w:asciiTheme="minorHAnsi" w:eastAsia="Times New Roman" w:hAnsiTheme="minorHAnsi" w:cstheme="minorHAnsi"/>
        </w:rPr>
        <w:t xml:space="preserve"> moniarvoiseksi ja avoimeksi.</w:t>
      </w:r>
    </w:p>
    <w:p w14:paraId="1D1E5B34" w14:textId="2173C5E1"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Peräti 91,7 % vastaajista kok</w:t>
      </w:r>
      <w:r w:rsidR="005D267F" w:rsidRPr="00253EDF">
        <w:rPr>
          <w:rFonts w:asciiTheme="minorHAnsi" w:eastAsia="Times New Roman" w:hAnsiTheme="minorHAnsi" w:cstheme="minorHAnsi"/>
        </w:rPr>
        <w:t>i</w:t>
      </w:r>
      <w:r w:rsidRPr="00253EDF">
        <w:rPr>
          <w:rFonts w:asciiTheme="minorHAnsi" w:eastAsia="Times New Roman" w:hAnsiTheme="minorHAnsi" w:cstheme="minorHAnsi"/>
        </w:rPr>
        <w:t xml:space="preserve"> olevansa tasavertaisessa asemassa muihin harrastajiin nähden. (Edellisessä kyselyssä 85,8 %)</w:t>
      </w:r>
    </w:p>
    <w:p w14:paraId="309D9217" w14:textId="343F6258"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100 % vastaajista kok</w:t>
      </w:r>
      <w:r w:rsidR="005D267F" w:rsidRPr="00253EDF">
        <w:rPr>
          <w:rFonts w:asciiTheme="minorHAnsi" w:eastAsia="Times New Roman" w:hAnsiTheme="minorHAnsi" w:cstheme="minorHAnsi"/>
        </w:rPr>
        <w:t>i</w:t>
      </w:r>
      <w:r w:rsidRPr="00253EDF">
        <w:rPr>
          <w:rFonts w:asciiTheme="minorHAnsi" w:eastAsia="Times New Roman" w:hAnsiTheme="minorHAnsi" w:cstheme="minorHAnsi"/>
        </w:rPr>
        <w:t xml:space="preserve"> miehillä ja naisilla olevan samanlaiset mahdollisuudet harrastaa ja kilpailla seurassaan.</w:t>
      </w:r>
    </w:p>
    <w:p w14:paraId="27FA38AD" w14:textId="51DF77B4"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Lähes kaikissa seuroissa o</w:t>
      </w:r>
      <w:r w:rsidR="005D267F" w:rsidRPr="00253EDF">
        <w:rPr>
          <w:rFonts w:asciiTheme="minorHAnsi" w:eastAsia="Times New Roman" w:hAnsiTheme="minorHAnsi" w:cstheme="minorHAnsi"/>
        </w:rPr>
        <w:t>li</w:t>
      </w:r>
      <w:r w:rsidRPr="00253EDF">
        <w:rPr>
          <w:rFonts w:asciiTheme="minorHAnsi" w:eastAsia="Times New Roman" w:hAnsiTheme="minorHAnsi" w:cstheme="minorHAnsi"/>
        </w:rPr>
        <w:t xml:space="preserve"> valmentajina ja johtotehtävissä sekä miehiä että naisia.</w:t>
      </w:r>
    </w:p>
    <w:p w14:paraId="455D00CA" w14:textId="74AB524E"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 xml:space="preserve">Aiemmassa kyselyssä vammaisurheilua tai pitkäaikaissairaille kohdennettuja ryhmiä oli 25 % vastanneiden seuroista. Nyt luku oli 46 %. </w:t>
      </w:r>
    </w:p>
    <w:p w14:paraId="1BF42B36" w14:textId="6D0D718A"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 xml:space="preserve">Maahanmuuttajataustaisia harrastajia oli aavistuksen enemmän kuin aiemmassa kyselyssä (64,4 % </w:t>
      </w:r>
      <w:r w:rsidR="008E1CA3">
        <w:rPr>
          <w:rFonts w:asciiTheme="minorHAnsi" w:eastAsia="Times New Roman" w:hAnsiTheme="minorHAnsi" w:cstheme="minorHAnsi"/>
        </w:rPr>
        <w:t xml:space="preserve">-&gt; </w:t>
      </w:r>
      <w:r w:rsidRPr="00253EDF">
        <w:rPr>
          <w:rFonts w:asciiTheme="minorHAnsi" w:eastAsia="Times New Roman" w:hAnsiTheme="minorHAnsi" w:cstheme="minorHAnsi"/>
        </w:rPr>
        <w:t>68,4 %)</w:t>
      </w:r>
    </w:p>
    <w:p w14:paraId="012A8AB1" w14:textId="1A9788DC"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77,4 % vastaajista ei ole koskaan nähnyt syrjintää seuran toiminnassa. Aiemmin luku oli 85,7</w:t>
      </w:r>
      <w:r w:rsidR="005D267F" w:rsidRPr="00253EDF">
        <w:rPr>
          <w:rFonts w:asciiTheme="minorHAnsi" w:eastAsia="Times New Roman" w:hAnsiTheme="minorHAnsi" w:cstheme="minorHAnsi"/>
        </w:rPr>
        <w:t xml:space="preserve"> </w:t>
      </w:r>
      <w:r w:rsidRPr="00253EDF">
        <w:rPr>
          <w:rFonts w:asciiTheme="minorHAnsi" w:eastAsia="Times New Roman" w:hAnsiTheme="minorHAnsi" w:cstheme="minorHAnsi"/>
        </w:rPr>
        <w:t xml:space="preserve">%. ”Joskus” ja ”useasti”-vastanneiden määrä oli noussut. Syrjintä on molemmissa kyselyissä kohdistunut pääasiassa IKÄÄN. </w:t>
      </w:r>
      <w:r w:rsidR="005D267F" w:rsidRPr="00253EDF">
        <w:rPr>
          <w:rFonts w:asciiTheme="minorHAnsi" w:eastAsia="Times New Roman" w:hAnsiTheme="minorHAnsi" w:cstheme="minorHAnsi"/>
        </w:rPr>
        <w:t>2022</w:t>
      </w:r>
      <w:r w:rsidRPr="00253EDF">
        <w:rPr>
          <w:rFonts w:asciiTheme="minorHAnsi" w:eastAsia="Times New Roman" w:hAnsiTheme="minorHAnsi" w:cstheme="minorHAnsi"/>
        </w:rPr>
        <w:t xml:space="preserve"> nousevat kakkossijalle toimintakyky ja seksuaalinen suuntautuminen, kun </w:t>
      </w:r>
      <w:r w:rsidR="005D267F" w:rsidRPr="00253EDF">
        <w:rPr>
          <w:rFonts w:asciiTheme="minorHAnsi" w:eastAsia="Times New Roman" w:hAnsiTheme="minorHAnsi" w:cstheme="minorHAnsi"/>
        </w:rPr>
        <w:t>2019</w:t>
      </w:r>
      <w:r w:rsidRPr="00253EDF">
        <w:rPr>
          <w:rFonts w:asciiTheme="minorHAnsi" w:eastAsia="Times New Roman" w:hAnsiTheme="minorHAnsi" w:cstheme="minorHAnsi"/>
        </w:rPr>
        <w:t xml:space="preserve"> ne olivat etninen tausta ja muut syyt.</w:t>
      </w:r>
    </w:p>
    <w:p w14:paraId="58175422" w14:textId="017A8219" w:rsidR="004F4508" w:rsidRPr="00253EDF" w:rsidRDefault="004F4508" w:rsidP="004F4508">
      <w:pPr>
        <w:pStyle w:val="Luettelokappale"/>
        <w:numPr>
          <w:ilvl w:val="0"/>
          <w:numId w:val="1"/>
        </w:numPr>
        <w:rPr>
          <w:rFonts w:asciiTheme="minorHAnsi" w:eastAsia="Times New Roman" w:hAnsiTheme="minorHAnsi" w:cstheme="minorHAnsi"/>
        </w:rPr>
      </w:pPr>
      <w:r w:rsidRPr="00253EDF">
        <w:rPr>
          <w:rFonts w:asciiTheme="minorHAnsi" w:eastAsia="Times New Roman" w:hAnsiTheme="minorHAnsi" w:cstheme="minorHAnsi"/>
        </w:rPr>
        <w:t>Suurimmassa osassa vastaajien seuroista ei ol</w:t>
      </w:r>
      <w:r w:rsidR="005D267F" w:rsidRPr="00253EDF">
        <w:rPr>
          <w:rFonts w:asciiTheme="minorHAnsi" w:eastAsia="Times New Roman" w:hAnsiTheme="minorHAnsi" w:cstheme="minorHAnsi"/>
        </w:rPr>
        <w:t>tu</w:t>
      </w:r>
      <w:r w:rsidRPr="00253EDF">
        <w:rPr>
          <w:rFonts w:asciiTheme="minorHAnsi" w:eastAsia="Times New Roman" w:hAnsiTheme="minorHAnsi" w:cstheme="minorHAnsi"/>
        </w:rPr>
        <w:t xml:space="preserve"> keskustelut syrjinnästä tai vastaajat eivät tie</w:t>
      </w:r>
      <w:r w:rsidR="005D267F" w:rsidRPr="00253EDF">
        <w:rPr>
          <w:rFonts w:asciiTheme="minorHAnsi" w:eastAsia="Times New Roman" w:hAnsiTheme="minorHAnsi" w:cstheme="minorHAnsi"/>
        </w:rPr>
        <w:t>nneet</w:t>
      </w:r>
      <w:r w:rsidRPr="00253EDF">
        <w:rPr>
          <w:rFonts w:asciiTheme="minorHAnsi" w:eastAsia="Times New Roman" w:hAnsiTheme="minorHAnsi" w:cstheme="minorHAnsi"/>
        </w:rPr>
        <w:t xml:space="preserve"> onko keskusteltu. Vastaajat eivät myöskään tie</w:t>
      </w:r>
      <w:r w:rsidR="005D267F" w:rsidRPr="00253EDF">
        <w:rPr>
          <w:rFonts w:asciiTheme="minorHAnsi" w:eastAsia="Times New Roman" w:hAnsiTheme="minorHAnsi" w:cstheme="minorHAnsi"/>
        </w:rPr>
        <w:t>nneet</w:t>
      </w:r>
      <w:r w:rsidRPr="00253EDF">
        <w:rPr>
          <w:rFonts w:asciiTheme="minorHAnsi" w:eastAsia="Times New Roman" w:hAnsiTheme="minorHAnsi" w:cstheme="minorHAnsi"/>
        </w:rPr>
        <w:t xml:space="preserve"> onko seurassa määritelty toimintatapa syrjimistapauksiin.</w:t>
      </w:r>
    </w:p>
    <w:p w14:paraId="53DDB373" w14:textId="77777777" w:rsidR="005D267F" w:rsidRPr="00253EDF" w:rsidRDefault="005D267F" w:rsidP="005D267F">
      <w:pPr>
        <w:pStyle w:val="Luettelokappale"/>
        <w:rPr>
          <w:rFonts w:asciiTheme="minorHAnsi" w:eastAsia="Times New Roman" w:hAnsiTheme="minorHAnsi" w:cstheme="minorHAnsi"/>
        </w:rPr>
      </w:pPr>
    </w:p>
    <w:p w14:paraId="6C7C6FCA" w14:textId="12398C70" w:rsidR="004F4508" w:rsidRPr="00253EDF" w:rsidRDefault="005D267F" w:rsidP="00253EDF">
      <w:pPr>
        <w:pStyle w:val="Otsikko2"/>
      </w:pPr>
      <w:r w:rsidRPr="00253EDF">
        <w:t>Johtopäätöksiä:</w:t>
      </w:r>
    </w:p>
    <w:p w14:paraId="44CD72D6" w14:textId="77777777" w:rsidR="005D267F" w:rsidRPr="00253EDF" w:rsidRDefault="005D267F" w:rsidP="00DF6406">
      <w:pPr>
        <w:pStyle w:val="Default"/>
        <w:rPr>
          <w:rFonts w:asciiTheme="minorHAnsi" w:hAnsiTheme="minorHAnsi" w:cstheme="minorHAnsi"/>
          <w:sz w:val="22"/>
          <w:szCs w:val="22"/>
        </w:rPr>
      </w:pPr>
    </w:p>
    <w:p w14:paraId="53CE4C9B" w14:textId="7FF8051B" w:rsidR="005D267F" w:rsidRPr="00253EDF" w:rsidRDefault="005D267F" w:rsidP="005D267F">
      <w:pPr>
        <w:rPr>
          <w:rFonts w:eastAsia="Times New Roman" w:cstheme="minorHAnsi"/>
        </w:rPr>
      </w:pPr>
      <w:r w:rsidRPr="00253EDF">
        <w:rPr>
          <w:rFonts w:cstheme="minorHAnsi"/>
        </w:rPr>
        <w:t xml:space="preserve">Monet asiat näyttävät olevan seuroissa hyvin. </w:t>
      </w:r>
      <w:r w:rsidRPr="00253EDF">
        <w:rPr>
          <w:rFonts w:eastAsia="Times New Roman" w:cstheme="minorHAnsi"/>
        </w:rPr>
        <w:t xml:space="preserve">Kyselyn mukaan tasa-arvo on hyvällä </w:t>
      </w:r>
      <w:r w:rsidR="008E1CA3" w:rsidRPr="00253EDF">
        <w:rPr>
          <w:rFonts w:eastAsia="Times New Roman" w:cstheme="minorHAnsi"/>
        </w:rPr>
        <w:t>mallilla,</w:t>
      </w:r>
      <w:r w:rsidRPr="00253EDF">
        <w:rPr>
          <w:rFonts w:eastAsia="Times New Roman" w:cstheme="minorHAnsi"/>
        </w:rPr>
        <w:t xml:space="preserve"> ja vastaajissakin naisten osuus on kasvanut, mutta kilpailutoiminnan tunnusluvut 2022 </w:t>
      </w:r>
      <w:r w:rsidR="008E1CA3">
        <w:rPr>
          <w:rFonts w:eastAsia="Times New Roman" w:cstheme="minorHAnsi"/>
        </w:rPr>
        <w:t xml:space="preserve">kertovat SM-kilpailuissa </w:t>
      </w:r>
      <w:r w:rsidRPr="00253EDF">
        <w:rPr>
          <w:rFonts w:eastAsia="Times New Roman" w:cstheme="minorHAnsi"/>
        </w:rPr>
        <w:t>naisia o</w:t>
      </w:r>
      <w:r w:rsidR="008E1CA3">
        <w:rPr>
          <w:rFonts w:eastAsia="Times New Roman" w:cstheme="minorHAnsi"/>
        </w:rPr>
        <w:t>sallistuvan</w:t>
      </w:r>
      <w:r w:rsidRPr="00253EDF">
        <w:rPr>
          <w:rFonts w:eastAsia="Times New Roman" w:cstheme="minorHAnsi"/>
        </w:rPr>
        <w:t xml:space="preserve"> vain puolet miesten määrästä. Harrastajissa epäsuhta ei näy näin voimakkaasti. Nuoremmissa ikäluokissa on enemmän naisia mukana, joten myös aika korjannee epäsuhtaa.</w:t>
      </w:r>
    </w:p>
    <w:p w14:paraId="1104446E" w14:textId="4489248D" w:rsidR="00E30683" w:rsidRPr="00253EDF" w:rsidRDefault="005D267F" w:rsidP="00E30683">
      <w:pPr>
        <w:rPr>
          <w:rFonts w:eastAsia="Times New Roman" w:cstheme="minorHAnsi"/>
        </w:rPr>
      </w:pPr>
      <w:r w:rsidRPr="00253EDF">
        <w:rPr>
          <w:rFonts w:eastAsia="Times New Roman" w:cstheme="minorHAnsi"/>
        </w:rPr>
        <w:t xml:space="preserve">Ikäsyrjintä ja toimintakyvyn mukaan arvottaminen </w:t>
      </w:r>
      <w:r w:rsidR="00E30683" w:rsidRPr="00253EDF">
        <w:rPr>
          <w:rFonts w:eastAsia="Times New Roman" w:cstheme="minorHAnsi"/>
        </w:rPr>
        <w:t>vaivaavat aikuisurheilijoita. He eivät koe olevansa arvostettuja seuroissa, joissa urheilee myös nuorempia ja lapsia. Liitto voi omilla toimillaan lisätä ikäurheilijoiden arvostusta ja luoda keinoja auttaa tukea tarvitsevia kilpailuissa ja matkoilla.</w:t>
      </w:r>
    </w:p>
    <w:p w14:paraId="7AED6CF9" w14:textId="42953D08" w:rsidR="005D267F" w:rsidRDefault="00E30683" w:rsidP="00E30683">
      <w:pPr>
        <w:rPr>
          <w:rFonts w:eastAsia="Times New Roman" w:cstheme="minorHAnsi"/>
        </w:rPr>
      </w:pPr>
      <w:r w:rsidRPr="00253EDF">
        <w:rPr>
          <w:rFonts w:eastAsia="Times New Roman" w:cstheme="minorHAnsi"/>
        </w:rPr>
        <w:t xml:space="preserve">Selvästi jäsenseuroilla on vielä parannettavaa omien jäsentensä tiedottamisesta siitä, miten toimia mahdollisissa syrjintä- tai häirintätapauksissa. </w:t>
      </w:r>
    </w:p>
    <w:p w14:paraId="250BCDC5" w14:textId="50E1D6C2" w:rsidR="00DF6406" w:rsidRPr="00253EDF" w:rsidRDefault="00DF6406" w:rsidP="00DF6406">
      <w:pPr>
        <w:pStyle w:val="Default"/>
        <w:rPr>
          <w:rFonts w:asciiTheme="minorHAnsi" w:hAnsiTheme="minorHAnsi" w:cstheme="minorHAnsi"/>
          <w:b/>
          <w:bCs/>
          <w:sz w:val="22"/>
          <w:szCs w:val="22"/>
        </w:rPr>
      </w:pPr>
    </w:p>
    <w:p w14:paraId="02F8A24D" w14:textId="56C5153E" w:rsidR="00DF6406" w:rsidRPr="00253EDF" w:rsidRDefault="00253EDF" w:rsidP="00253EDF">
      <w:pPr>
        <w:pStyle w:val="Otsikko1"/>
      </w:pPr>
      <w:bookmarkStart w:id="3" w:name="_Toc129266344"/>
      <w:r>
        <w:t xml:space="preserve">4 </w:t>
      </w:r>
      <w:r w:rsidR="00DF6406" w:rsidRPr="00253EDF">
        <w:t>Toimenpiteet</w:t>
      </w:r>
      <w:bookmarkEnd w:id="3"/>
    </w:p>
    <w:p w14:paraId="706C2EF1" w14:textId="0151BB08" w:rsidR="00D51CB2" w:rsidRPr="00253EDF" w:rsidRDefault="00D51CB2" w:rsidP="00DF6406">
      <w:pPr>
        <w:pStyle w:val="Default"/>
        <w:rPr>
          <w:rFonts w:asciiTheme="minorHAnsi" w:hAnsiTheme="minorHAnsi" w:cstheme="minorHAnsi"/>
          <w:b/>
          <w:bCs/>
          <w:sz w:val="22"/>
          <w:szCs w:val="22"/>
        </w:rPr>
      </w:pPr>
    </w:p>
    <w:tbl>
      <w:tblPr>
        <w:tblW w:w="14900" w:type="dxa"/>
        <w:tblCellMar>
          <w:left w:w="70" w:type="dxa"/>
          <w:right w:w="70" w:type="dxa"/>
        </w:tblCellMar>
        <w:tblLook w:val="04A0" w:firstRow="1" w:lastRow="0" w:firstColumn="1" w:lastColumn="0" w:noHBand="0" w:noVBand="1"/>
      </w:tblPr>
      <w:tblGrid>
        <w:gridCol w:w="1660"/>
        <w:gridCol w:w="2420"/>
        <w:gridCol w:w="2840"/>
        <w:gridCol w:w="2220"/>
        <w:gridCol w:w="1340"/>
        <w:gridCol w:w="1980"/>
        <w:gridCol w:w="2440"/>
      </w:tblGrid>
      <w:tr w:rsidR="00D51CB2" w:rsidRPr="00D51CB2" w14:paraId="2EEC53AA" w14:textId="77777777" w:rsidTr="00D51CB2">
        <w:trPr>
          <w:trHeight w:val="290"/>
        </w:trPr>
        <w:tc>
          <w:tcPr>
            <w:tcW w:w="1660" w:type="dxa"/>
            <w:tcBorders>
              <w:top w:val="nil"/>
              <w:left w:val="nil"/>
              <w:bottom w:val="nil"/>
              <w:right w:val="nil"/>
            </w:tcBorders>
            <w:shd w:val="clear" w:color="000000" w:fill="92D050"/>
            <w:noWrap/>
            <w:hideMark/>
          </w:tcPr>
          <w:p w14:paraId="6F0115DC"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Teema</w:t>
            </w:r>
          </w:p>
        </w:tc>
        <w:tc>
          <w:tcPr>
            <w:tcW w:w="2420" w:type="dxa"/>
            <w:tcBorders>
              <w:top w:val="nil"/>
              <w:left w:val="nil"/>
              <w:bottom w:val="nil"/>
              <w:right w:val="nil"/>
            </w:tcBorders>
            <w:shd w:val="clear" w:color="000000" w:fill="92D050"/>
            <w:noWrap/>
            <w:hideMark/>
          </w:tcPr>
          <w:p w14:paraId="17B094B5"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Tavoite</w:t>
            </w:r>
          </w:p>
        </w:tc>
        <w:tc>
          <w:tcPr>
            <w:tcW w:w="2840" w:type="dxa"/>
            <w:tcBorders>
              <w:top w:val="nil"/>
              <w:left w:val="nil"/>
              <w:bottom w:val="nil"/>
              <w:right w:val="nil"/>
            </w:tcBorders>
            <w:shd w:val="clear" w:color="000000" w:fill="92D050"/>
            <w:noWrap/>
            <w:hideMark/>
          </w:tcPr>
          <w:p w14:paraId="6C4599ED"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Toimenpiteet</w:t>
            </w:r>
          </w:p>
        </w:tc>
        <w:tc>
          <w:tcPr>
            <w:tcW w:w="2220" w:type="dxa"/>
            <w:tcBorders>
              <w:top w:val="nil"/>
              <w:left w:val="nil"/>
              <w:bottom w:val="nil"/>
              <w:right w:val="nil"/>
            </w:tcBorders>
            <w:shd w:val="clear" w:color="000000" w:fill="92D050"/>
            <w:noWrap/>
            <w:hideMark/>
          </w:tcPr>
          <w:p w14:paraId="452EFF73"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Aikataulu</w:t>
            </w:r>
          </w:p>
        </w:tc>
        <w:tc>
          <w:tcPr>
            <w:tcW w:w="1340" w:type="dxa"/>
            <w:tcBorders>
              <w:top w:val="nil"/>
              <w:left w:val="nil"/>
              <w:bottom w:val="nil"/>
              <w:right w:val="nil"/>
            </w:tcBorders>
            <w:shd w:val="clear" w:color="000000" w:fill="92D050"/>
            <w:hideMark/>
          </w:tcPr>
          <w:p w14:paraId="370ABD6A"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Vastuu</w:t>
            </w:r>
          </w:p>
        </w:tc>
        <w:tc>
          <w:tcPr>
            <w:tcW w:w="1980" w:type="dxa"/>
            <w:tcBorders>
              <w:top w:val="nil"/>
              <w:left w:val="nil"/>
              <w:bottom w:val="nil"/>
              <w:right w:val="nil"/>
            </w:tcBorders>
            <w:shd w:val="clear" w:color="000000" w:fill="92D050"/>
            <w:hideMark/>
          </w:tcPr>
          <w:p w14:paraId="32114ECB"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Tiedotus</w:t>
            </w:r>
          </w:p>
        </w:tc>
        <w:tc>
          <w:tcPr>
            <w:tcW w:w="2440" w:type="dxa"/>
            <w:tcBorders>
              <w:top w:val="nil"/>
              <w:left w:val="nil"/>
              <w:bottom w:val="nil"/>
              <w:right w:val="nil"/>
            </w:tcBorders>
            <w:shd w:val="clear" w:color="000000" w:fill="92D050"/>
            <w:hideMark/>
          </w:tcPr>
          <w:p w14:paraId="5D089FEE" w14:textId="77777777" w:rsidR="00D51CB2" w:rsidRPr="00D51CB2" w:rsidRDefault="00D51CB2" w:rsidP="00D51CB2">
            <w:pPr>
              <w:spacing w:after="0" w:line="240" w:lineRule="auto"/>
              <w:rPr>
                <w:rFonts w:eastAsia="Times New Roman" w:cstheme="minorHAnsi"/>
                <w:b/>
                <w:bCs/>
                <w:color w:val="000000"/>
                <w:lang w:eastAsia="fi-FI"/>
              </w:rPr>
            </w:pPr>
            <w:r w:rsidRPr="00D51CB2">
              <w:rPr>
                <w:rFonts w:eastAsia="Times New Roman" w:cstheme="minorHAnsi"/>
                <w:b/>
                <w:bCs/>
                <w:color w:val="000000"/>
                <w:lang w:eastAsia="fi-FI"/>
              </w:rPr>
              <w:t>Seuranta</w:t>
            </w:r>
          </w:p>
        </w:tc>
      </w:tr>
      <w:tr w:rsidR="00D51CB2" w:rsidRPr="00D51CB2" w14:paraId="1D77704F" w14:textId="77777777" w:rsidTr="00D51CB2">
        <w:trPr>
          <w:trHeight w:val="1160"/>
        </w:trPr>
        <w:tc>
          <w:tcPr>
            <w:tcW w:w="1660" w:type="dxa"/>
            <w:tcBorders>
              <w:top w:val="nil"/>
              <w:left w:val="nil"/>
              <w:bottom w:val="nil"/>
              <w:right w:val="nil"/>
            </w:tcBorders>
            <w:shd w:val="clear" w:color="000000" w:fill="FCE4D6"/>
            <w:hideMark/>
          </w:tcPr>
          <w:p w14:paraId="3B52714E"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Sukupuolten tasa-arvo</w:t>
            </w:r>
          </w:p>
        </w:tc>
        <w:tc>
          <w:tcPr>
            <w:tcW w:w="2420" w:type="dxa"/>
            <w:tcBorders>
              <w:top w:val="nil"/>
              <w:left w:val="nil"/>
              <w:bottom w:val="nil"/>
              <w:right w:val="nil"/>
            </w:tcBorders>
            <w:shd w:val="clear" w:color="auto" w:fill="auto"/>
            <w:hideMark/>
          </w:tcPr>
          <w:p w14:paraId="64D1A14A"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Naisten osuuden lisääminen SM-kilpailuissa</w:t>
            </w:r>
          </w:p>
        </w:tc>
        <w:tc>
          <w:tcPr>
            <w:tcW w:w="2840" w:type="dxa"/>
            <w:tcBorders>
              <w:top w:val="nil"/>
              <w:left w:val="nil"/>
              <w:bottom w:val="nil"/>
              <w:right w:val="nil"/>
            </w:tcBorders>
            <w:shd w:val="clear" w:color="auto" w:fill="auto"/>
            <w:hideMark/>
          </w:tcPr>
          <w:p w14:paraId="5925798F"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Tehdään tutkimus syistä, jotka estävät harrastajia osallistumasta kilpailuihin.</w:t>
            </w:r>
          </w:p>
        </w:tc>
        <w:tc>
          <w:tcPr>
            <w:tcW w:w="2220" w:type="dxa"/>
            <w:tcBorders>
              <w:top w:val="nil"/>
              <w:left w:val="nil"/>
              <w:bottom w:val="nil"/>
              <w:right w:val="nil"/>
            </w:tcBorders>
            <w:shd w:val="clear" w:color="auto" w:fill="auto"/>
            <w:hideMark/>
          </w:tcPr>
          <w:p w14:paraId="0DB54F73"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Joulu22-Tammikuu23</w:t>
            </w:r>
          </w:p>
        </w:tc>
        <w:tc>
          <w:tcPr>
            <w:tcW w:w="1340" w:type="dxa"/>
            <w:tcBorders>
              <w:top w:val="nil"/>
              <w:left w:val="nil"/>
              <w:bottom w:val="nil"/>
              <w:right w:val="nil"/>
            </w:tcBorders>
            <w:shd w:val="clear" w:color="auto" w:fill="auto"/>
            <w:hideMark/>
          </w:tcPr>
          <w:p w14:paraId="7FB5A2D9"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Saga ja Karita</w:t>
            </w:r>
          </w:p>
        </w:tc>
        <w:tc>
          <w:tcPr>
            <w:tcW w:w="1980" w:type="dxa"/>
            <w:tcBorders>
              <w:top w:val="nil"/>
              <w:left w:val="nil"/>
              <w:bottom w:val="nil"/>
              <w:right w:val="nil"/>
            </w:tcBorders>
            <w:shd w:val="clear" w:color="auto" w:fill="auto"/>
            <w:hideMark/>
          </w:tcPr>
          <w:p w14:paraId="7635683F"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Suora yhteys seuroihin. Tulosten julkistaminen Ikiliikkuja-lehdessä.</w:t>
            </w:r>
          </w:p>
        </w:tc>
        <w:tc>
          <w:tcPr>
            <w:tcW w:w="2440" w:type="dxa"/>
            <w:tcBorders>
              <w:top w:val="nil"/>
              <w:left w:val="nil"/>
              <w:bottom w:val="nil"/>
              <w:right w:val="nil"/>
            </w:tcBorders>
            <w:shd w:val="clear" w:color="auto" w:fill="auto"/>
            <w:hideMark/>
          </w:tcPr>
          <w:p w14:paraId="79ED3E2E"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Tutkimustulosten perusteella valitaan seuraavat toimenpiteet.</w:t>
            </w:r>
          </w:p>
        </w:tc>
      </w:tr>
      <w:tr w:rsidR="00D51CB2" w:rsidRPr="00D51CB2" w14:paraId="65859779" w14:textId="77777777" w:rsidTr="00D51CB2">
        <w:trPr>
          <w:trHeight w:val="290"/>
        </w:trPr>
        <w:tc>
          <w:tcPr>
            <w:tcW w:w="1660" w:type="dxa"/>
            <w:tcBorders>
              <w:top w:val="nil"/>
              <w:left w:val="nil"/>
              <w:bottom w:val="nil"/>
              <w:right w:val="nil"/>
            </w:tcBorders>
            <w:shd w:val="clear" w:color="auto" w:fill="auto"/>
            <w:noWrap/>
            <w:hideMark/>
          </w:tcPr>
          <w:p w14:paraId="0A1C5B72" w14:textId="77777777" w:rsidR="00D51CB2" w:rsidRPr="00D51CB2" w:rsidRDefault="00D51CB2" w:rsidP="00D51CB2">
            <w:pPr>
              <w:spacing w:after="0" w:line="240" w:lineRule="auto"/>
              <w:rPr>
                <w:rFonts w:eastAsia="Times New Roman" w:cstheme="minorHAnsi"/>
                <w:color w:val="000000"/>
                <w:lang w:eastAsia="fi-FI"/>
              </w:rPr>
            </w:pPr>
          </w:p>
        </w:tc>
        <w:tc>
          <w:tcPr>
            <w:tcW w:w="2420" w:type="dxa"/>
            <w:tcBorders>
              <w:top w:val="nil"/>
              <w:left w:val="nil"/>
              <w:bottom w:val="nil"/>
              <w:right w:val="nil"/>
            </w:tcBorders>
            <w:shd w:val="clear" w:color="auto" w:fill="auto"/>
            <w:noWrap/>
            <w:hideMark/>
          </w:tcPr>
          <w:p w14:paraId="7CECE898" w14:textId="77777777" w:rsidR="00D51CB2" w:rsidRPr="00D51CB2" w:rsidRDefault="00D51CB2" w:rsidP="00D51CB2">
            <w:pPr>
              <w:spacing w:after="0" w:line="240" w:lineRule="auto"/>
              <w:rPr>
                <w:rFonts w:eastAsia="Times New Roman" w:cstheme="minorHAnsi"/>
                <w:lang w:eastAsia="fi-FI"/>
              </w:rPr>
            </w:pPr>
          </w:p>
        </w:tc>
        <w:tc>
          <w:tcPr>
            <w:tcW w:w="2840" w:type="dxa"/>
            <w:tcBorders>
              <w:top w:val="nil"/>
              <w:left w:val="nil"/>
              <w:bottom w:val="nil"/>
              <w:right w:val="nil"/>
            </w:tcBorders>
            <w:shd w:val="clear" w:color="auto" w:fill="auto"/>
            <w:noWrap/>
            <w:hideMark/>
          </w:tcPr>
          <w:p w14:paraId="27A41AAA" w14:textId="77777777" w:rsidR="00D51CB2" w:rsidRPr="00D51CB2" w:rsidRDefault="00D51CB2" w:rsidP="00D51CB2">
            <w:pPr>
              <w:spacing w:after="0" w:line="240" w:lineRule="auto"/>
              <w:rPr>
                <w:rFonts w:eastAsia="Times New Roman" w:cstheme="minorHAnsi"/>
                <w:lang w:eastAsia="fi-FI"/>
              </w:rPr>
            </w:pPr>
          </w:p>
        </w:tc>
        <w:tc>
          <w:tcPr>
            <w:tcW w:w="2220" w:type="dxa"/>
            <w:tcBorders>
              <w:top w:val="nil"/>
              <w:left w:val="nil"/>
              <w:bottom w:val="nil"/>
              <w:right w:val="nil"/>
            </w:tcBorders>
            <w:shd w:val="clear" w:color="auto" w:fill="auto"/>
            <w:noWrap/>
            <w:hideMark/>
          </w:tcPr>
          <w:p w14:paraId="5D9FA095" w14:textId="77777777" w:rsidR="00D51CB2" w:rsidRPr="00D51CB2" w:rsidRDefault="00D51CB2" w:rsidP="00D51CB2">
            <w:pPr>
              <w:spacing w:after="0" w:line="240" w:lineRule="auto"/>
              <w:rPr>
                <w:rFonts w:eastAsia="Times New Roman" w:cstheme="minorHAnsi"/>
                <w:lang w:eastAsia="fi-FI"/>
              </w:rPr>
            </w:pPr>
          </w:p>
        </w:tc>
        <w:tc>
          <w:tcPr>
            <w:tcW w:w="1340" w:type="dxa"/>
            <w:tcBorders>
              <w:top w:val="nil"/>
              <w:left w:val="nil"/>
              <w:bottom w:val="nil"/>
              <w:right w:val="nil"/>
            </w:tcBorders>
            <w:shd w:val="clear" w:color="auto" w:fill="auto"/>
            <w:noWrap/>
            <w:hideMark/>
          </w:tcPr>
          <w:p w14:paraId="4FE05024" w14:textId="77777777" w:rsidR="00D51CB2" w:rsidRPr="00D51CB2" w:rsidRDefault="00D51CB2" w:rsidP="00D51CB2">
            <w:pPr>
              <w:spacing w:after="0" w:line="240" w:lineRule="auto"/>
              <w:rPr>
                <w:rFonts w:eastAsia="Times New Roman" w:cstheme="minorHAnsi"/>
                <w:lang w:eastAsia="fi-FI"/>
              </w:rPr>
            </w:pPr>
          </w:p>
        </w:tc>
        <w:tc>
          <w:tcPr>
            <w:tcW w:w="1980" w:type="dxa"/>
            <w:tcBorders>
              <w:top w:val="nil"/>
              <w:left w:val="nil"/>
              <w:bottom w:val="nil"/>
              <w:right w:val="nil"/>
            </w:tcBorders>
            <w:shd w:val="clear" w:color="auto" w:fill="auto"/>
            <w:noWrap/>
            <w:hideMark/>
          </w:tcPr>
          <w:p w14:paraId="6B6F5103" w14:textId="77777777" w:rsidR="00D51CB2" w:rsidRPr="00D51CB2" w:rsidRDefault="00D51CB2" w:rsidP="00D51CB2">
            <w:pPr>
              <w:spacing w:after="0" w:line="240" w:lineRule="auto"/>
              <w:rPr>
                <w:rFonts w:eastAsia="Times New Roman" w:cstheme="minorHAnsi"/>
                <w:lang w:eastAsia="fi-FI"/>
              </w:rPr>
            </w:pPr>
          </w:p>
        </w:tc>
        <w:tc>
          <w:tcPr>
            <w:tcW w:w="2440" w:type="dxa"/>
            <w:tcBorders>
              <w:top w:val="nil"/>
              <w:left w:val="nil"/>
              <w:bottom w:val="nil"/>
              <w:right w:val="nil"/>
            </w:tcBorders>
            <w:shd w:val="clear" w:color="auto" w:fill="auto"/>
            <w:noWrap/>
            <w:hideMark/>
          </w:tcPr>
          <w:p w14:paraId="2883DB6C" w14:textId="77777777" w:rsidR="00D51CB2" w:rsidRPr="00D51CB2" w:rsidRDefault="00D51CB2" w:rsidP="00D51CB2">
            <w:pPr>
              <w:spacing w:after="0" w:line="240" w:lineRule="auto"/>
              <w:rPr>
                <w:rFonts w:eastAsia="Times New Roman" w:cstheme="minorHAnsi"/>
                <w:lang w:eastAsia="fi-FI"/>
              </w:rPr>
            </w:pPr>
          </w:p>
        </w:tc>
      </w:tr>
      <w:tr w:rsidR="00D51CB2" w:rsidRPr="00D51CB2" w14:paraId="681341FD" w14:textId="77777777" w:rsidTr="00D51CB2">
        <w:trPr>
          <w:trHeight w:val="1180"/>
        </w:trPr>
        <w:tc>
          <w:tcPr>
            <w:tcW w:w="1660" w:type="dxa"/>
            <w:tcBorders>
              <w:top w:val="nil"/>
              <w:left w:val="nil"/>
              <w:bottom w:val="nil"/>
              <w:right w:val="nil"/>
            </w:tcBorders>
            <w:shd w:val="clear" w:color="000000" w:fill="D9E1F2"/>
            <w:noWrap/>
            <w:hideMark/>
          </w:tcPr>
          <w:p w14:paraId="5110E39C"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Ikäsyrjintä</w:t>
            </w:r>
          </w:p>
        </w:tc>
        <w:tc>
          <w:tcPr>
            <w:tcW w:w="2420" w:type="dxa"/>
            <w:tcBorders>
              <w:top w:val="nil"/>
              <w:left w:val="nil"/>
              <w:bottom w:val="nil"/>
              <w:right w:val="nil"/>
            </w:tcBorders>
            <w:shd w:val="clear" w:color="auto" w:fill="auto"/>
            <w:hideMark/>
          </w:tcPr>
          <w:p w14:paraId="0FF8ABAB"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Aikuisurheilijoiden arvostuksen lisääminen seuroissa</w:t>
            </w:r>
          </w:p>
        </w:tc>
        <w:tc>
          <w:tcPr>
            <w:tcW w:w="2840" w:type="dxa"/>
            <w:tcBorders>
              <w:top w:val="nil"/>
              <w:left w:val="nil"/>
              <w:bottom w:val="nil"/>
              <w:right w:val="nil"/>
            </w:tcBorders>
            <w:shd w:val="clear" w:color="auto" w:fill="auto"/>
            <w:hideMark/>
          </w:tcPr>
          <w:p w14:paraId="51DE8A59"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 xml:space="preserve">Ehdotetaan jäsenseuroille vuoden aikuisurheilijan vuosittaista palkintoa. </w:t>
            </w:r>
          </w:p>
        </w:tc>
        <w:tc>
          <w:tcPr>
            <w:tcW w:w="2220" w:type="dxa"/>
            <w:tcBorders>
              <w:top w:val="nil"/>
              <w:left w:val="nil"/>
              <w:bottom w:val="nil"/>
              <w:right w:val="nil"/>
            </w:tcBorders>
            <w:shd w:val="clear" w:color="auto" w:fill="auto"/>
            <w:hideMark/>
          </w:tcPr>
          <w:p w14:paraId="616E6041"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Ehdotus jäsenkirjeessä 12/2022, muistutus jäsenkirjeessä 10/23</w:t>
            </w:r>
          </w:p>
        </w:tc>
        <w:tc>
          <w:tcPr>
            <w:tcW w:w="1340" w:type="dxa"/>
            <w:tcBorders>
              <w:top w:val="nil"/>
              <w:left w:val="nil"/>
              <w:bottom w:val="nil"/>
              <w:right w:val="nil"/>
            </w:tcBorders>
            <w:shd w:val="clear" w:color="auto" w:fill="auto"/>
            <w:noWrap/>
            <w:hideMark/>
          </w:tcPr>
          <w:p w14:paraId="626F9B57"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Karita</w:t>
            </w:r>
          </w:p>
        </w:tc>
        <w:tc>
          <w:tcPr>
            <w:tcW w:w="1980" w:type="dxa"/>
            <w:tcBorders>
              <w:top w:val="nil"/>
              <w:left w:val="nil"/>
              <w:bottom w:val="nil"/>
              <w:right w:val="nil"/>
            </w:tcBorders>
            <w:shd w:val="clear" w:color="auto" w:fill="auto"/>
            <w:hideMark/>
          </w:tcPr>
          <w:p w14:paraId="6EA750DD"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Muistutus Ikiliikkuja-lehdessä 6/23 (askelmerkit)</w:t>
            </w:r>
          </w:p>
        </w:tc>
        <w:tc>
          <w:tcPr>
            <w:tcW w:w="2440" w:type="dxa"/>
            <w:tcBorders>
              <w:top w:val="nil"/>
              <w:left w:val="nil"/>
              <w:bottom w:val="nil"/>
              <w:right w:val="nil"/>
            </w:tcBorders>
            <w:shd w:val="clear" w:color="auto" w:fill="auto"/>
            <w:hideMark/>
          </w:tcPr>
          <w:p w14:paraId="23D61C95"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Tiedustellaan seuroilta 2023 vuosi-ilmoituksen yhteydessä, onko palkinto käytössä.</w:t>
            </w:r>
          </w:p>
        </w:tc>
      </w:tr>
      <w:tr w:rsidR="00D51CB2" w:rsidRPr="00D51CB2" w14:paraId="11385A17" w14:textId="77777777" w:rsidTr="00D51CB2">
        <w:trPr>
          <w:trHeight w:val="290"/>
        </w:trPr>
        <w:tc>
          <w:tcPr>
            <w:tcW w:w="1660" w:type="dxa"/>
            <w:tcBorders>
              <w:top w:val="nil"/>
              <w:left w:val="nil"/>
              <w:bottom w:val="nil"/>
              <w:right w:val="nil"/>
            </w:tcBorders>
            <w:shd w:val="clear" w:color="auto" w:fill="auto"/>
            <w:noWrap/>
            <w:hideMark/>
          </w:tcPr>
          <w:p w14:paraId="45D77A26" w14:textId="77777777" w:rsidR="00D51CB2" w:rsidRPr="00D51CB2" w:rsidRDefault="00D51CB2" w:rsidP="00D51CB2">
            <w:pPr>
              <w:spacing w:after="0" w:line="240" w:lineRule="auto"/>
              <w:rPr>
                <w:rFonts w:eastAsia="Times New Roman" w:cstheme="minorHAnsi"/>
                <w:color w:val="000000"/>
                <w:lang w:eastAsia="fi-FI"/>
              </w:rPr>
            </w:pPr>
          </w:p>
        </w:tc>
        <w:tc>
          <w:tcPr>
            <w:tcW w:w="2420" w:type="dxa"/>
            <w:tcBorders>
              <w:top w:val="nil"/>
              <w:left w:val="nil"/>
              <w:bottom w:val="nil"/>
              <w:right w:val="nil"/>
            </w:tcBorders>
            <w:shd w:val="clear" w:color="auto" w:fill="auto"/>
            <w:noWrap/>
            <w:hideMark/>
          </w:tcPr>
          <w:p w14:paraId="7675EB94" w14:textId="77777777" w:rsidR="00D51CB2" w:rsidRPr="00D51CB2" w:rsidRDefault="00D51CB2" w:rsidP="00D51CB2">
            <w:pPr>
              <w:spacing w:after="0" w:line="240" w:lineRule="auto"/>
              <w:rPr>
                <w:rFonts w:eastAsia="Times New Roman" w:cstheme="minorHAnsi"/>
                <w:lang w:eastAsia="fi-FI"/>
              </w:rPr>
            </w:pPr>
          </w:p>
        </w:tc>
        <w:tc>
          <w:tcPr>
            <w:tcW w:w="2840" w:type="dxa"/>
            <w:tcBorders>
              <w:top w:val="nil"/>
              <w:left w:val="nil"/>
              <w:bottom w:val="nil"/>
              <w:right w:val="nil"/>
            </w:tcBorders>
            <w:shd w:val="clear" w:color="auto" w:fill="auto"/>
            <w:noWrap/>
            <w:hideMark/>
          </w:tcPr>
          <w:p w14:paraId="24DB7C90" w14:textId="77777777" w:rsidR="00D51CB2" w:rsidRPr="00D51CB2" w:rsidRDefault="00D51CB2" w:rsidP="00D51CB2">
            <w:pPr>
              <w:spacing w:after="0" w:line="240" w:lineRule="auto"/>
              <w:rPr>
                <w:rFonts w:eastAsia="Times New Roman" w:cstheme="minorHAnsi"/>
                <w:lang w:eastAsia="fi-FI"/>
              </w:rPr>
            </w:pPr>
          </w:p>
        </w:tc>
        <w:tc>
          <w:tcPr>
            <w:tcW w:w="2220" w:type="dxa"/>
            <w:tcBorders>
              <w:top w:val="nil"/>
              <w:left w:val="nil"/>
              <w:bottom w:val="nil"/>
              <w:right w:val="nil"/>
            </w:tcBorders>
            <w:shd w:val="clear" w:color="auto" w:fill="auto"/>
            <w:noWrap/>
            <w:hideMark/>
          </w:tcPr>
          <w:p w14:paraId="13465417" w14:textId="77777777" w:rsidR="00D51CB2" w:rsidRPr="00D51CB2" w:rsidRDefault="00D51CB2" w:rsidP="00D51CB2">
            <w:pPr>
              <w:spacing w:after="0" w:line="240" w:lineRule="auto"/>
              <w:rPr>
                <w:rFonts w:eastAsia="Times New Roman" w:cstheme="minorHAnsi"/>
                <w:lang w:eastAsia="fi-FI"/>
              </w:rPr>
            </w:pPr>
          </w:p>
        </w:tc>
        <w:tc>
          <w:tcPr>
            <w:tcW w:w="1340" w:type="dxa"/>
            <w:tcBorders>
              <w:top w:val="nil"/>
              <w:left w:val="nil"/>
              <w:bottom w:val="nil"/>
              <w:right w:val="nil"/>
            </w:tcBorders>
            <w:shd w:val="clear" w:color="auto" w:fill="auto"/>
            <w:noWrap/>
            <w:hideMark/>
          </w:tcPr>
          <w:p w14:paraId="0C14BD8A" w14:textId="77777777" w:rsidR="00D51CB2" w:rsidRPr="00D51CB2" w:rsidRDefault="00D51CB2" w:rsidP="00D51CB2">
            <w:pPr>
              <w:spacing w:after="0" w:line="240" w:lineRule="auto"/>
              <w:rPr>
                <w:rFonts w:eastAsia="Times New Roman" w:cstheme="minorHAnsi"/>
                <w:lang w:eastAsia="fi-FI"/>
              </w:rPr>
            </w:pPr>
          </w:p>
        </w:tc>
        <w:tc>
          <w:tcPr>
            <w:tcW w:w="1980" w:type="dxa"/>
            <w:tcBorders>
              <w:top w:val="nil"/>
              <w:left w:val="nil"/>
              <w:bottom w:val="nil"/>
              <w:right w:val="nil"/>
            </w:tcBorders>
            <w:shd w:val="clear" w:color="auto" w:fill="auto"/>
            <w:noWrap/>
            <w:hideMark/>
          </w:tcPr>
          <w:p w14:paraId="12B8200B" w14:textId="77777777" w:rsidR="00D51CB2" w:rsidRPr="00D51CB2" w:rsidRDefault="00D51CB2" w:rsidP="00D51CB2">
            <w:pPr>
              <w:spacing w:after="0" w:line="240" w:lineRule="auto"/>
              <w:rPr>
                <w:rFonts w:eastAsia="Times New Roman" w:cstheme="minorHAnsi"/>
                <w:lang w:eastAsia="fi-FI"/>
              </w:rPr>
            </w:pPr>
          </w:p>
        </w:tc>
        <w:tc>
          <w:tcPr>
            <w:tcW w:w="2440" w:type="dxa"/>
            <w:tcBorders>
              <w:top w:val="nil"/>
              <w:left w:val="nil"/>
              <w:bottom w:val="nil"/>
              <w:right w:val="nil"/>
            </w:tcBorders>
            <w:shd w:val="clear" w:color="auto" w:fill="auto"/>
            <w:noWrap/>
            <w:hideMark/>
          </w:tcPr>
          <w:p w14:paraId="3CB1EF5B" w14:textId="77777777" w:rsidR="00D51CB2" w:rsidRPr="00D51CB2" w:rsidRDefault="00D51CB2" w:rsidP="00D51CB2">
            <w:pPr>
              <w:spacing w:after="0" w:line="240" w:lineRule="auto"/>
              <w:rPr>
                <w:rFonts w:eastAsia="Times New Roman" w:cstheme="minorHAnsi"/>
                <w:lang w:eastAsia="fi-FI"/>
              </w:rPr>
            </w:pPr>
          </w:p>
        </w:tc>
      </w:tr>
      <w:tr w:rsidR="00D51CB2" w:rsidRPr="00D51CB2" w14:paraId="582F2894" w14:textId="77777777" w:rsidTr="00D51CB2">
        <w:trPr>
          <w:trHeight w:val="1160"/>
        </w:trPr>
        <w:tc>
          <w:tcPr>
            <w:tcW w:w="1660" w:type="dxa"/>
            <w:tcBorders>
              <w:top w:val="nil"/>
              <w:left w:val="nil"/>
              <w:bottom w:val="nil"/>
              <w:right w:val="nil"/>
            </w:tcBorders>
            <w:shd w:val="clear" w:color="000000" w:fill="FFF2CC"/>
            <w:hideMark/>
          </w:tcPr>
          <w:p w14:paraId="39E4EAA4"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Yhdenvertaisuus tukea tarvitseville</w:t>
            </w:r>
          </w:p>
        </w:tc>
        <w:tc>
          <w:tcPr>
            <w:tcW w:w="2420" w:type="dxa"/>
            <w:tcBorders>
              <w:top w:val="nil"/>
              <w:left w:val="nil"/>
              <w:bottom w:val="nil"/>
              <w:right w:val="nil"/>
            </w:tcBorders>
            <w:shd w:val="clear" w:color="auto" w:fill="auto"/>
            <w:hideMark/>
          </w:tcPr>
          <w:p w14:paraId="1E0A5798"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Yhdenvertainen osallistumismahdollisuus kisoihin</w:t>
            </w:r>
          </w:p>
        </w:tc>
        <w:tc>
          <w:tcPr>
            <w:tcW w:w="2840" w:type="dxa"/>
            <w:tcBorders>
              <w:top w:val="nil"/>
              <w:left w:val="nil"/>
              <w:bottom w:val="nil"/>
              <w:right w:val="nil"/>
            </w:tcBorders>
            <w:shd w:val="clear" w:color="auto" w:fill="auto"/>
            <w:hideMark/>
          </w:tcPr>
          <w:p w14:paraId="0DCF16AC"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Aloitetaan tukihenkilöpalvelu iäkkäille tai muuten erityistukea tarvitseville urheilijoille kisamatkoille.</w:t>
            </w:r>
          </w:p>
        </w:tc>
        <w:tc>
          <w:tcPr>
            <w:tcW w:w="2220" w:type="dxa"/>
            <w:tcBorders>
              <w:top w:val="nil"/>
              <w:left w:val="nil"/>
              <w:bottom w:val="nil"/>
              <w:right w:val="nil"/>
            </w:tcBorders>
            <w:shd w:val="clear" w:color="auto" w:fill="auto"/>
            <w:hideMark/>
          </w:tcPr>
          <w:p w14:paraId="5CA57DA7"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 xml:space="preserve">Ensimmäisistä arvokisoista alkaen. </w:t>
            </w:r>
          </w:p>
        </w:tc>
        <w:tc>
          <w:tcPr>
            <w:tcW w:w="1340" w:type="dxa"/>
            <w:tcBorders>
              <w:top w:val="nil"/>
              <w:left w:val="nil"/>
              <w:bottom w:val="nil"/>
              <w:right w:val="nil"/>
            </w:tcBorders>
            <w:shd w:val="clear" w:color="auto" w:fill="auto"/>
            <w:noWrap/>
            <w:hideMark/>
          </w:tcPr>
          <w:p w14:paraId="53D26036" w14:textId="77777777" w:rsidR="00D51CB2" w:rsidRPr="00D51CB2" w:rsidRDefault="00D51CB2" w:rsidP="00D51CB2">
            <w:pPr>
              <w:spacing w:after="0" w:line="240" w:lineRule="auto"/>
              <w:rPr>
                <w:rFonts w:eastAsia="Times New Roman" w:cstheme="minorHAnsi"/>
                <w:color w:val="000000"/>
                <w:lang w:eastAsia="fi-FI"/>
              </w:rPr>
            </w:pPr>
          </w:p>
        </w:tc>
        <w:tc>
          <w:tcPr>
            <w:tcW w:w="1980" w:type="dxa"/>
            <w:tcBorders>
              <w:top w:val="nil"/>
              <w:left w:val="nil"/>
              <w:bottom w:val="nil"/>
              <w:right w:val="nil"/>
            </w:tcBorders>
            <w:shd w:val="clear" w:color="auto" w:fill="auto"/>
            <w:hideMark/>
          </w:tcPr>
          <w:p w14:paraId="48C1CAB6"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Tiedotus jäsenlehdessä, seurapostissa ja kotisivuilla.</w:t>
            </w:r>
          </w:p>
        </w:tc>
        <w:tc>
          <w:tcPr>
            <w:tcW w:w="2440" w:type="dxa"/>
            <w:tcBorders>
              <w:top w:val="nil"/>
              <w:left w:val="nil"/>
              <w:bottom w:val="nil"/>
              <w:right w:val="nil"/>
            </w:tcBorders>
            <w:shd w:val="clear" w:color="auto" w:fill="auto"/>
            <w:hideMark/>
          </w:tcPr>
          <w:p w14:paraId="4D8A92D1"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Tehdään vuoden lopuksi kooste palvelun käytöstä</w:t>
            </w:r>
          </w:p>
        </w:tc>
      </w:tr>
      <w:tr w:rsidR="00D51CB2" w:rsidRPr="00D51CB2" w14:paraId="665EF845" w14:textId="77777777" w:rsidTr="00D51CB2">
        <w:trPr>
          <w:trHeight w:val="290"/>
        </w:trPr>
        <w:tc>
          <w:tcPr>
            <w:tcW w:w="1660" w:type="dxa"/>
            <w:tcBorders>
              <w:top w:val="nil"/>
              <w:left w:val="nil"/>
              <w:bottom w:val="nil"/>
              <w:right w:val="nil"/>
            </w:tcBorders>
            <w:shd w:val="clear" w:color="auto" w:fill="auto"/>
            <w:noWrap/>
            <w:hideMark/>
          </w:tcPr>
          <w:p w14:paraId="243488A3" w14:textId="77777777" w:rsidR="00D51CB2" w:rsidRPr="00D51CB2" w:rsidRDefault="00D51CB2" w:rsidP="00D51CB2">
            <w:pPr>
              <w:spacing w:after="0" w:line="240" w:lineRule="auto"/>
              <w:rPr>
                <w:rFonts w:eastAsia="Times New Roman" w:cstheme="minorHAnsi"/>
                <w:color w:val="000000"/>
                <w:lang w:eastAsia="fi-FI"/>
              </w:rPr>
            </w:pPr>
          </w:p>
        </w:tc>
        <w:tc>
          <w:tcPr>
            <w:tcW w:w="2420" w:type="dxa"/>
            <w:tcBorders>
              <w:top w:val="nil"/>
              <w:left w:val="nil"/>
              <w:bottom w:val="nil"/>
              <w:right w:val="nil"/>
            </w:tcBorders>
            <w:shd w:val="clear" w:color="auto" w:fill="auto"/>
            <w:noWrap/>
            <w:hideMark/>
          </w:tcPr>
          <w:p w14:paraId="0E6AAB03" w14:textId="77777777" w:rsidR="00D51CB2" w:rsidRPr="00D51CB2" w:rsidRDefault="00D51CB2" w:rsidP="00D51CB2">
            <w:pPr>
              <w:spacing w:after="0" w:line="240" w:lineRule="auto"/>
              <w:rPr>
                <w:rFonts w:eastAsia="Times New Roman" w:cstheme="minorHAnsi"/>
                <w:lang w:eastAsia="fi-FI"/>
              </w:rPr>
            </w:pPr>
          </w:p>
        </w:tc>
        <w:tc>
          <w:tcPr>
            <w:tcW w:w="2840" w:type="dxa"/>
            <w:tcBorders>
              <w:top w:val="nil"/>
              <w:left w:val="nil"/>
              <w:bottom w:val="nil"/>
              <w:right w:val="nil"/>
            </w:tcBorders>
            <w:shd w:val="clear" w:color="auto" w:fill="auto"/>
            <w:noWrap/>
            <w:hideMark/>
          </w:tcPr>
          <w:p w14:paraId="2D2F44BE" w14:textId="77777777" w:rsidR="00D51CB2" w:rsidRPr="00D51CB2" w:rsidRDefault="00D51CB2" w:rsidP="00D51CB2">
            <w:pPr>
              <w:spacing w:after="0" w:line="240" w:lineRule="auto"/>
              <w:rPr>
                <w:rFonts w:eastAsia="Times New Roman" w:cstheme="minorHAnsi"/>
                <w:lang w:eastAsia="fi-FI"/>
              </w:rPr>
            </w:pPr>
          </w:p>
        </w:tc>
        <w:tc>
          <w:tcPr>
            <w:tcW w:w="2220" w:type="dxa"/>
            <w:tcBorders>
              <w:top w:val="nil"/>
              <w:left w:val="nil"/>
              <w:bottom w:val="nil"/>
              <w:right w:val="nil"/>
            </w:tcBorders>
            <w:shd w:val="clear" w:color="auto" w:fill="auto"/>
            <w:noWrap/>
            <w:hideMark/>
          </w:tcPr>
          <w:p w14:paraId="096CFEC6" w14:textId="77777777" w:rsidR="00D51CB2" w:rsidRPr="00D51CB2" w:rsidRDefault="00D51CB2" w:rsidP="00D51CB2">
            <w:pPr>
              <w:spacing w:after="0" w:line="240" w:lineRule="auto"/>
              <w:rPr>
                <w:rFonts w:eastAsia="Times New Roman" w:cstheme="minorHAnsi"/>
                <w:lang w:eastAsia="fi-FI"/>
              </w:rPr>
            </w:pPr>
          </w:p>
        </w:tc>
        <w:tc>
          <w:tcPr>
            <w:tcW w:w="1340" w:type="dxa"/>
            <w:tcBorders>
              <w:top w:val="nil"/>
              <w:left w:val="nil"/>
              <w:bottom w:val="nil"/>
              <w:right w:val="nil"/>
            </w:tcBorders>
            <w:shd w:val="clear" w:color="auto" w:fill="auto"/>
            <w:noWrap/>
            <w:hideMark/>
          </w:tcPr>
          <w:p w14:paraId="3576ABED" w14:textId="77777777" w:rsidR="00D51CB2" w:rsidRPr="00D51CB2" w:rsidRDefault="00D51CB2" w:rsidP="00D51CB2">
            <w:pPr>
              <w:spacing w:after="0" w:line="240" w:lineRule="auto"/>
              <w:rPr>
                <w:rFonts w:eastAsia="Times New Roman" w:cstheme="minorHAnsi"/>
                <w:lang w:eastAsia="fi-FI"/>
              </w:rPr>
            </w:pPr>
          </w:p>
        </w:tc>
        <w:tc>
          <w:tcPr>
            <w:tcW w:w="1980" w:type="dxa"/>
            <w:tcBorders>
              <w:top w:val="nil"/>
              <w:left w:val="nil"/>
              <w:bottom w:val="nil"/>
              <w:right w:val="nil"/>
            </w:tcBorders>
            <w:shd w:val="clear" w:color="auto" w:fill="auto"/>
            <w:noWrap/>
            <w:hideMark/>
          </w:tcPr>
          <w:p w14:paraId="24AE6D34" w14:textId="77777777" w:rsidR="00D51CB2" w:rsidRPr="00D51CB2" w:rsidRDefault="00D51CB2" w:rsidP="00D51CB2">
            <w:pPr>
              <w:spacing w:after="0" w:line="240" w:lineRule="auto"/>
              <w:rPr>
                <w:rFonts w:eastAsia="Times New Roman" w:cstheme="minorHAnsi"/>
                <w:lang w:eastAsia="fi-FI"/>
              </w:rPr>
            </w:pPr>
          </w:p>
        </w:tc>
        <w:tc>
          <w:tcPr>
            <w:tcW w:w="2440" w:type="dxa"/>
            <w:tcBorders>
              <w:top w:val="nil"/>
              <w:left w:val="nil"/>
              <w:bottom w:val="nil"/>
              <w:right w:val="nil"/>
            </w:tcBorders>
            <w:shd w:val="clear" w:color="auto" w:fill="auto"/>
            <w:noWrap/>
            <w:hideMark/>
          </w:tcPr>
          <w:p w14:paraId="52A03004" w14:textId="77777777" w:rsidR="00D51CB2" w:rsidRPr="00D51CB2" w:rsidRDefault="00D51CB2" w:rsidP="00D51CB2">
            <w:pPr>
              <w:spacing w:after="0" w:line="240" w:lineRule="auto"/>
              <w:rPr>
                <w:rFonts w:eastAsia="Times New Roman" w:cstheme="minorHAnsi"/>
                <w:lang w:eastAsia="fi-FI"/>
              </w:rPr>
            </w:pPr>
          </w:p>
        </w:tc>
      </w:tr>
      <w:tr w:rsidR="00D51CB2" w:rsidRPr="00D51CB2" w14:paraId="2279A630" w14:textId="77777777" w:rsidTr="00D51CB2">
        <w:trPr>
          <w:trHeight w:val="1430"/>
        </w:trPr>
        <w:tc>
          <w:tcPr>
            <w:tcW w:w="1660" w:type="dxa"/>
            <w:tcBorders>
              <w:top w:val="nil"/>
              <w:left w:val="nil"/>
              <w:bottom w:val="nil"/>
              <w:right w:val="nil"/>
            </w:tcBorders>
            <w:shd w:val="clear" w:color="000000" w:fill="D9D9D9"/>
            <w:noWrap/>
            <w:hideMark/>
          </w:tcPr>
          <w:p w14:paraId="646761B4"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Viestintä</w:t>
            </w:r>
          </w:p>
        </w:tc>
        <w:tc>
          <w:tcPr>
            <w:tcW w:w="2420" w:type="dxa"/>
            <w:tcBorders>
              <w:top w:val="nil"/>
              <w:left w:val="nil"/>
              <w:bottom w:val="nil"/>
              <w:right w:val="nil"/>
            </w:tcBorders>
            <w:shd w:val="clear" w:color="auto" w:fill="auto"/>
            <w:hideMark/>
          </w:tcPr>
          <w:p w14:paraId="6D1C3325"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Häirintä- ja syrjintätapausten käsittelyn toimintatavat seuroissa heidän jäsenistönsä tietoon.</w:t>
            </w:r>
          </w:p>
        </w:tc>
        <w:tc>
          <w:tcPr>
            <w:tcW w:w="2840" w:type="dxa"/>
            <w:tcBorders>
              <w:top w:val="nil"/>
              <w:left w:val="nil"/>
              <w:bottom w:val="nil"/>
              <w:right w:val="nil"/>
            </w:tcBorders>
            <w:shd w:val="clear" w:color="auto" w:fill="auto"/>
            <w:hideMark/>
          </w:tcPr>
          <w:p w14:paraId="6DE2FCD6"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Seuroille lähetetään ohjeet toimintatapojen luomiseen ja siitä tiedottamiseen</w:t>
            </w:r>
          </w:p>
        </w:tc>
        <w:tc>
          <w:tcPr>
            <w:tcW w:w="2220" w:type="dxa"/>
            <w:tcBorders>
              <w:top w:val="nil"/>
              <w:left w:val="nil"/>
              <w:bottom w:val="nil"/>
              <w:right w:val="nil"/>
            </w:tcBorders>
            <w:shd w:val="clear" w:color="auto" w:fill="auto"/>
            <w:hideMark/>
          </w:tcPr>
          <w:p w14:paraId="380A9B3F"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Ehdotus jäsenkirjeessä 12/2022, muistutus jäsenkirjeessä 4/23</w:t>
            </w:r>
          </w:p>
        </w:tc>
        <w:tc>
          <w:tcPr>
            <w:tcW w:w="1340" w:type="dxa"/>
            <w:tcBorders>
              <w:top w:val="nil"/>
              <w:left w:val="nil"/>
              <w:bottom w:val="nil"/>
              <w:right w:val="nil"/>
            </w:tcBorders>
            <w:shd w:val="clear" w:color="auto" w:fill="auto"/>
            <w:noWrap/>
            <w:hideMark/>
          </w:tcPr>
          <w:p w14:paraId="09F2A352"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Karita</w:t>
            </w:r>
          </w:p>
        </w:tc>
        <w:tc>
          <w:tcPr>
            <w:tcW w:w="1980" w:type="dxa"/>
            <w:tcBorders>
              <w:top w:val="nil"/>
              <w:left w:val="nil"/>
              <w:bottom w:val="nil"/>
              <w:right w:val="nil"/>
            </w:tcBorders>
            <w:shd w:val="clear" w:color="auto" w:fill="auto"/>
            <w:noWrap/>
            <w:hideMark/>
          </w:tcPr>
          <w:p w14:paraId="3C7035B0" w14:textId="77777777" w:rsidR="00D51CB2" w:rsidRPr="00D51CB2" w:rsidRDefault="00D51CB2" w:rsidP="00D51CB2">
            <w:pPr>
              <w:spacing w:after="0" w:line="240" w:lineRule="auto"/>
              <w:rPr>
                <w:rFonts w:eastAsia="Times New Roman" w:cstheme="minorHAnsi"/>
                <w:color w:val="000000"/>
                <w:lang w:eastAsia="fi-FI"/>
              </w:rPr>
            </w:pPr>
          </w:p>
        </w:tc>
        <w:tc>
          <w:tcPr>
            <w:tcW w:w="2440" w:type="dxa"/>
            <w:tcBorders>
              <w:top w:val="nil"/>
              <w:left w:val="nil"/>
              <w:bottom w:val="nil"/>
              <w:right w:val="nil"/>
            </w:tcBorders>
            <w:shd w:val="clear" w:color="auto" w:fill="auto"/>
            <w:hideMark/>
          </w:tcPr>
          <w:p w14:paraId="37C883EB" w14:textId="77777777" w:rsidR="00D51CB2" w:rsidRPr="00D51CB2" w:rsidRDefault="00D51CB2" w:rsidP="00D51CB2">
            <w:pPr>
              <w:spacing w:after="0" w:line="240" w:lineRule="auto"/>
              <w:rPr>
                <w:rFonts w:eastAsia="Times New Roman" w:cstheme="minorHAnsi"/>
                <w:color w:val="000000"/>
                <w:lang w:eastAsia="fi-FI"/>
              </w:rPr>
            </w:pPr>
            <w:r w:rsidRPr="00D51CB2">
              <w:rPr>
                <w:rFonts w:eastAsia="Times New Roman" w:cstheme="minorHAnsi"/>
                <w:color w:val="000000"/>
                <w:lang w:eastAsia="fi-FI"/>
              </w:rPr>
              <w:t>Seuraavassa yhdenvertaisuuskyselyssä tulosten vertaaminen vuoden 2022 lukuihin.</w:t>
            </w:r>
          </w:p>
        </w:tc>
      </w:tr>
    </w:tbl>
    <w:p w14:paraId="3780CF8A" w14:textId="77777777" w:rsidR="00D51CB2" w:rsidRPr="00253EDF" w:rsidRDefault="00D51CB2" w:rsidP="00DF6406">
      <w:pPr>
        <w:pStyle w:val="Default"/>
        <w:rPr>
          <w:rFonts w:asciiTheme="minorHAnsi" w:hAnsiTheme="minorHAnsi" w:cstheme="minorHAnsi"/>
          <w:b/>
          <w:bCs/>
          <w:sz w:val="22"/>
          <w:szCs w:val="22"/>
        </w:rPr>
      </w:pPr>
    </w:p>
    <w:p w14:paraId="7B7FF566" w14:textId="76F65498" w:rsidR="00DF6406" w:rsidRPr="00253EDF" w:rsidRDefault="00DF6406" w:rsidP="00DF6406">
      <w:pPr>
        <w:pStyle w:val="Default"/>
        <w:rPr>
          <w:rFonts w:asciiTheme="minorHAnsi" w:hAnsiTheme="minorHAnsi" w:cstheme="minorHAnsi"/>
          <w:b/>
          <w:bCs/>
          <w:sz w:val="22"/>
          <w:szCs w:val="22"/>
        </w:rPr>
      </w:pPr>
    </w:p>
    <w:p w14:paraId="631845E0" w14:textId="74B6A47B" w:rsidR="00DF6406" w:rsidRDefault="00253EDF" w:rsidP="00253EDF">
      <w:pPr>
        <w:pStyle w:val="Otsikko1"/>
      </w:pPr>
      <w:bookmarkStart w:id="4" w:name="_Toc129266345"/>
      <w:r>
        <w:t>5 Seuranta ja päivitys</w:t>
      </w:r>
      <w:bookmarkEnd w:id="4"/>
    </w:p>
    <w:p w14:paraId="26362F10" w14:textId="07B846AB" w:rsidR="00253EDF" w:rsidRDefault="00253EDF" w:rsidP="00253EDF"/>
    <w:p w14:paraId="437BB708" w14:textId="15456C3B" w:rsidR="00253EDF" w:rsidRDefault="00253EDF" w:rsidP="00253EDF">
      <w:r>
        <w:t xml:space="preserve">Tässä suunnitelmassa olevien tavoitteiden toteutumista seurataan toimihenkilöiden ja vastuussa olevien toimesta. Tuloksista raportoidaan hallitukselle ja </w:t>
      </w:r>
      <w:r w:rsidR="00E030C9">
        <w:t xml:space="preserve">tiedotetaan jäsenistöä. Sukupuolten tasa-arvoa koskevan kyselyn tulokset analysoidaan ja valitaan sen perusteella jatkotoimenpiteet, joiden toteutus aloitetaan tämän suunnitelmakauden aikana. Suunnitelmaa ja toimenpiteitä tarkennetaan ja kehitetään kulloinkin esille nousevien tarpeiden </w:t>
      </w:r>
      <w:proofErr w:type="gramStart"/>
      <w:r w:rsidR="00E030C9">
        <w:t>johdosta</w:t>
      </w:r>
      <w:proofErr w:type="gramEnd"/>
      <w:r w:rsidR="00E030C9">
        <w:t xml:space="preserve">. </w:t>
      </w:r>
    </w:p>
    <w:p w14:paraId="6C9253C0" w14:textId="31D31613" w:rsidR="00E030C9" w:rsidRPr="00253EDF" w:rsidRDefault="00E030C9" w:rsidP="00253EDF">
      <w:r>
        <w:t xml:space="preserve">Seuraava yhdenvertaisuuskysely tehdään syksyllä 2025, jolloin tuloksia voidaan verrata vuoden 2022 tuloksiin ja arvioida toimenpiteiden vaikuttavuutta. Naisten osuutta SM-kilpailuissa </w:t>
      </w:r>
      <w:r w:rsidR="00872547">
        <w:t xml:space="preserve">seurataan vuosittaisista kilpailutilastoista ja lisenssimääristä. Ikäsyrjintä- ja viestintäosuuksista kysytään suoraan seuroilta sen lisäksi, että yhdenvertaisuuskyselyssä selvitetään urheilijoiden tietous asiasta. </w:t>
      </w:r>
    </w:p>
    <w:sectPr w:rsidR="00E030C9" w:rsidRPr="00253ED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25D68"/>
    <w:multiLevelType w:val="hybridMultilevel"/>
    <w:tmpl w:val="6870080E"/>
    <w:lvl w:ilvl="0" w:tplc="CE80AE7C">
      <w:start w:val="1"/>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6FDA55E6"/>
    <w:multiLevelType w:val="hybridMultilevel"/>
    <w:tmpl w:val="AE3E041C"/>
    <w:lvl w:ilvl="0" w:tplc="040B0011">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16cid:durableId="302197592">
    <w:abstractNumId w:val="0"/>
  </w:num>
  <w:num w:numId="2" w16cid:durableId="13063995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06"/>
    <w:rsid w:val="00200B05"/>
    <w:rsid w:val="00253EDF"/>
    <w:rsid w:val="0033322F"/>
    <w:rsid w:val="004F4508"/>
    <w:rsid w:val="005D267F"/>
    <w:rsid w:val="006C425E"/>
    <w:rsid w:val="00724050"/>
    <w:rsid w:val="00872547"/>
    <w:rsid w:val="008D6B7B"/>
    <w:rsid w:val="008E1CA3"/>
    <w:rsid w:val="00987C34"/>
    <w:rsid w:val="00CB6FCC"/>
    <w:rsid w:val="00CC5040"/>
    <w:rsid w:val="00D26AA5"/>
    <w:rsid w:val="00D51CB2"/>
    <w:rsid w:val="00D84080"/>
    <w:rsid w:val="00D97867"/>
    <w:rsid w:val="00DF6406"/>
    <w:rsid w:val="00E030C9"/>
    <w:rsid w:val="00E3068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6A3E"/>
  <w15:chartTrackingRefBased/>
  <w15:docId w15:val="{28006386-D915-4F9A-931A-258DA456A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253E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53E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DF6406"/>
    <w:pPr>
      <w:autoSpaceDE w:val="0"/>
      <w:autoSpaceDN w:val="0"/>
      <w:adjustRightInd w:val="0"/>
      <w:spacing w:after="0" w:line="240" w:lineRule="auto"/>
    </w:pPr>
    <w:rPr>
      <w:rFonts w:ascii="Calibri Light" w:hAnsi="Calibri Light" w:cs="Calibri Light"/>
      <w:color w:val="000000"/>
      <w:sz w:val="24"/>
      <w:szCs w:val="24"/>
    </w:rPr>
  </w:style>
  <w:style w:type="paragraph" w:styleId="Luettelokappale">
    <w:name w:val="List Paragraph"/>
    <w:basedOn w:val="Normaali"/>
    <w:uiPriority w:val="34"/>
    <w:qFormat/>
    <w:rsid w:val="004F4508"/>
    <w:pPr>
      <w:spacing w:after="0" w:line="240" w:lineRule="auto"/>
      <w:ind w:left="720"/>
    </w:pPr>
    <w:rPr>
      <w:rFonts w:ascii="Calibri" w:hAnsi="Calibri" w:cs="Calibri"/>
    </w:rPr>
  </w:style>
  <w:style w:type="character" w:styleId="Hyperlinkki">
    <w:name w:val="Hyperlink"/>
    <w:basedOn w:val="Kappaleenoletusfontti"/>
    <w:uiPriority w:val="99"/>
    <w:unhideWhenUsed/>
    <w:rsid w:val="005D267F"/>
    <w:rPr>
      <w:color w:val="0563C1" w:themeColor="hyperlink"/>
      <w:u w:val="single"/>
    </w:rPr>
  </w:style>
  <w:style w:type="character" w:customStyle="1" w:styleId="Otsikko1Char">
    <w:name w:val="Otsikko 1 Char"/>
    <w:basedOn w:val="Kappaleenoletusfontti"/>
    <w:link w:val="Otsikko1"/>
    <w:uiPriority w:val="9"/>
    <w:rsid w:val="00253EDF"/>
    <w:rPr>
      <w:rFonts w:asciiTheme="majorHAnsi" w:eastAsiaTheme="majorEastAsia" w:hAnsiTheme="majorHAnsi" w:cstheme="majorBidi"/>
      <w:color w:val="2F5496" w:themeColor="accent1" w:themeShade="BF"/>
      <w:sz w:val="32"/>
      <w:szCs w:val="32"/>
    </w:rPr>
  </w:style>
  <w:style w:type="paragraph" w:styleId="Otsikko">
    <w:name w:val="Title"/>
    <w:basedOn w:val="Normaali"/>
    <w:next w:val="Normaali"/>
    <w:link w:val="OtsikkoChar"/>
    <w:uiPriority w:val="10"/>
    <w:qFormat/>
    <w:rsid w:val="00253E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253EDF"/>
    <w:rPr>
      <w:rFonts w:asciiTheme="majorHAnsi" w:eastAsiaTheme="majorEastAsia" w:hAnsiTheme="majorHAnsi" w:cstheme="majorBidi"/>
      <w:spacing w:val="-10"/>
      <w:kern w:val="28"/>
      <w:sz w:val="56"/>
      <w:szCs w:val="56"/>
    </w:rPr>
  </w:style>
  <w:style w:type="paragraph" w:styleId="Sisllysluettelonotsikko">
    <w:name w:val="TOC Heading"/>
    <w:basedOn w:val="Otsikko1"/>
    <w:next w:val="Normaali"/>
    <w:uiPriority w:val="39"/>
    <w:unhideWhenUsed/>
    <w:qFormat/>
    <w:rsid w:val="00253EDF"/>
    <w:pPr>
      <w:outlineLvl w:val="9"/>
    </w:pPr>
    <w:rPr>
      <w:lang w:eastAsia="fi-FI"/>
    </w:rPr>
  </w:style>
  <w:style w:type="paragraph" w:styleId="Sisluet1">
    <w:name w:val="toc 1"/>
    <w:basedOn w:val="Normaali"/>
    <w:next w:val="Normaali"/>
    <w:autoRedefine/>
    <w:uiPriority w:val="39"/>
    <w:unhideWhenUsed/>
    <w:rsid w:val="00253EDF"/>
    <w:pPr>
      <w:spacing w:after="100"/>
    </w:pPr>
  </w:style>
  <w:style w:type="character" w:customStyle="1" w:styleId="Otsikko2Char">
    <w:name w:val="Otsikko 2 Char"/>
    <w:basedOn w:val="Kappaleenoletusfontti"/>
    <w:link w:val="Otsikko2"/>
    <w:uiPriority w:val="9"/>
    <w:rsid w:val="00253E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20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7F31E-F1AC-48C5-9CE7-D94BC066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Pages>
  <Words>976</Words>
  <Characters>7907</Characters>
  <Application>Microsoft Office Word</Application>
  <DocSecurity>0</DocSecurity>
  <Lines>65</Lines>
  <Paragraphs>17</Paragraphs>
  <ScaleCrop>false</ScaleCrop>
  <HeadingPairs>
    <vt:vector size="4" baseType="variant">
      <vt:variant>
        <vt:lpstr>Otsikko</vt:lpstr>
      </vt:variant>
      <vt:variant>
        <vt:i4>1</vt:i4>
      </vt:variant>
      <vt:variant>
        <vt:lpstr>Otsikot</vt:lpstr>
      </vt:variant>
      <vt:variant>
        <vt:i4>7</vt:i4>
      </vt:variant>
    </vt:vector>
  </HeadingPairs>
  <TitlesOfParts>
    <vt:vector size="8" baseType="lpstr">
      <vt:lpstr/>
      <vt:lpstr>1 SAUL:n toiminta-ajatus ja toiminnan painopisteet</vt:lpstr>
      <vt:lpstr>2 Yhdenvertaisuus ja tasa-arvo</vt:lpstr>
      <vt:lpstr>3 Yhdenvertaisuus- ja tasa-arvosuunnitelman perusteet </vt:lpstr>
      <vt:lpstr>    Huomioita vastauksista:</vt:lpstr>
      <vt:lpstr>    Johtopäätöksiä:</vt:lpstr>
      <vt:lpstr>4 Toimenpiteet</vt:lpstr>
      <vt:lpstr>5 Seuranta ja päivitys</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Karita Soukko</dc:creator>
  <cp:keywords/>
  <dc:description/>
  <cp:lastModifiedBy>Karita Soukko</cp:lastModifiedBy>
  <cp:revision>8</cp:revision>
  <dcterms:created xsi:type="dcterms:W3CDTF">2023-03-06T08:07:00Z</dcterms:created>
  <dcterms:modified xsi:type="dcterms:W3CDTF">2023-05-16T09:15:00Z</dcterms:modified>
</cp:coreProperties>
</file>